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DDA" w:rsidRDefault="00136DDA" w:rsidP="00136DDA">
      <w:r>
        <w:rPr>
          <w:noProof/>
          <w:lang w:eastAsia="en-AU"/>
        </w:rPr>
        <w:drawing>
          <wp:inline distT="0" distB="0" distL="0" distR="0">
            <wp:extent cx="3982212" cy="914400"/>
            <wp:effectExtent l="19050" t="0" r="0" b="0"/>
            <wp:docPr id="3"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print"/>
                    <a:stretch>
                      <a:fillRect/>
                    </a:stretch>
                  </pic:blipFill>
                  <pic:spPr>
                    <a:xfrm>
                      <a:off x="0" y="0"/>
                      <a:ext cx="3982212" cy="914400"/>
                    </a:xfrm>
                    <a:prstGeom prst="rect">
                      <a:avLst/>
                    </a:prstGeom>
                  </pic:spPr>
                </pic:pic>
              </a:graphicData>
            </a:graphic>
          </wp:inline>
        </w:drawing>
      </w:r>
    </w:p>
    <w:p w:rsidR="00136DDA" w:rsidRDefault="00136DDA" w:rsidP="00136DDA">
      <w:pPr>
        <w:pStyle w:val="Title"/>
      </w:pPr>
      <w:r>
        <w:rPr>
          <w:rStyle w:val="BookTitle"/>
        </w:rPr>
        <w:t xml:space="preserve">Corner Inlet </w:t>
      </w:r>
      <w:r>
        <w:t>Ramsar site</w:t>
      </w:r>
    </w:p>
    <w:p w:rsidR="00136DDA" w:rsidRDefault="00136DDA" w:rsidP="00136DDA">
      <w:pPr>
        <w:pStyle w:val="Title"/>
        <w:spacing w:before="960" w:after="960"/>
        <w:contextualSpacing w:val="0"/>
      </w:pPr>
      <w:r>
        <w:t>Ecological Character Description</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June 2011</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Chapter</w:t>
      </w:r>
      <w:r w:rsidR="009B1FD9">
        <w:rPr>
          <w:rFonts w:asciiTheme="minorHAnsi" w:hAnsiTheme="minorHAnsi" w:cstheme="minorHAnsi"/>
          <w:sz w:val="24"/>
          <w:szCs w:val="24"/>
        </w:rPr>
        <w:t>s 5-6</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136DDA" w:rsidRPr="007E0E84" w:rsidRDefault="00092695" w:rsidP="00136DDA">
      <w:pPr>
        <w:jc w:val="center"/>
        <w:rPr>
          <w:rFonts w:asciiTheme="minorHAnsi" w:hAnsiTheme="minorHAnsi" w:cstheme="minorHAnsi"/>
          <w:sz w:val="24"/>
          <w:szCs w:val="24"/>
        </w:rPr>
      </w:pPr>
      <w:hyperlink r:id="rId9" w:history="1">
        <w:r w:rsidR="00136DDA" w:rsidRPr="00951FAC">
          <w:rPr>
            <w:rStyle w:val="Hyperlink"/>
            <w:rFonts w:asciiTheme="minorHAnsi" w:hAnsiTheme="minorHAnsi" w:cstheme="minorHAnsi"/>
            <w:sz w:val="24"/>
            <w:szCs w:val="24"/>
          </w:rPr>
          <w:t>www.environment.gov.au/water/publications/environmental/wetlands/13-ecd.html</w:t>
        </w:r>
      </w:hyperlink>
      <w:r w:rsidR="00136DDA">
        <w:rPr>
          <w:rFonts w:asciiTheme="minorHAnsi" w:hAnsiTheme="minorHAnsi" w:cstheme="minorHAnsi"/>
          <w:sz w:val="24"/>
          <w:szCs w:val="24"/>
        </w:rPr>
        <w:t xml:space="preserve"> </w:t>
      </w:r>
    </w:p>
    <w:p w:rsidR="00136DDA" w:rsidRDefault="00136DDA" w:rsidP="007D3AD7">
      <w:pPr>
        <w:sectPr w:rsidR="00136DDA" w:rsidSect="00FA4CF0">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0E4357" w:rsidRPr="00C60682" w:rsidRDefault="000E4357" w:rsidP="000E4357">
      <w:pPr>
        <w:pStyle w:val="Heading1"/>
      </w:pPr>
      <w:bookmarkStart w:id="0" w:name="_Ref235596329"/>
      <w:bookmarkStart w:id="1" w:name="_Ref236647459"/>
      <w:bookmarkStart w:id="2" w:name="_Toc295374227"/>
      <w:r w:rsidRPr="00C60682">
        <w:lastRenderedPageBreak/>
        <w:t>Changes to Ecological Character and Threats</w:t>
      </w:r>
      <w:bookmarkEnd w:id="0"/>
      <w:bookmarkEnd w:id="1"/>
      <w:bookmarkEnd w:id="2"/>
      <w:r w:rsidRPr="00C60682">
        <w:tab/>
      </w:r>
    </w:p>
    <w:p w:rsidR="000E4357" w:rsidRDefault="000E4357" w:rsidP="000E4357">
      <w:pPr>
        <w:pStyle w:val="Heading2"/>
        <w:ind w:left="851" w:hanging="851"/>
      </w:pPr>
      <w:bookmarkStart w:id="3" w:name="_Toc295374228"/>
      <w:bookmarkStart w:id="4" w:name="_Ref235000856"/>
      <w:r w:rsidRPr="009A0F70">
        <w:t>Overview of Threats</w:t>
      </w:r>
      <w:bookmarkEnd w:id="3"/>
      <w:r w:rsidRPr="009A0F70">
        <w:tab/>
      </w:r>
    </w:p>
    <w:p w:rsidR="000E4357" w:rsidRDefault="000E4357" w:rsidP="000E4357">
      <w:pPr>
        <w:pStyle w:val="Text"/>
      </w:pPr>
      <w:r w:rsidRPr="00B02F0F">
        <w:t xml:space="preserve">Given the size and diversity of wetland habitats present, the threats to the values </w:t>
      </w:r>
      <w:r>
        <w:t>of the</w:t>
      </w:r>
      <w:r w:rsidRPr="00B02F0F">
        <w:t xml:space="preserve"> Ramsar site vary greatly across multiple spatial and temporal scales and in terms of their potential severity</w:t>
      </w:r>
      <w:r>
        <w:t xml:space="preserve">. </w:t>
      </w:r>
      <w:r w:rsidRPr="00B02F0F">
        <w:t xml:space="preserve">Some of these threats are discussed in the above section in relation to </w:t>
      </w:r>
      <w:r>
        <w:t>changes to ecological character</w:t>
      </w:r>
      <w:r w:rsidRPr="00B02F0F">
        <w:t xml:space="preserve"> and a range of threats have also been identified for each of the critical services/benefits</w:t>
      </w:r>
      <w:r>
        <w:t xml:space="preserve">. </w:t>
      </w:r>
    </w:p>
    <w:p w:rsidR="000E4357" w:rsidRDefault="000E4357" w:rsidP="000E4357">
      <w:pPr>
        <w:pStyle w:val="Text"/>
      </w:pPr>
      <w:r w:rsidRPr="00B02F0F">
        <w:t xml:space="preserve">Broad scale threats to the ecological character of the site are summarised in </w:t>
      </w:r>
      <w:r w:rsidR="00092695">
        <w:fldChar w:fldCharType="begin"/>
      </w:r>
      <w:r>
        <w:instrText xml:space="preserve"> REF _Ref260402553 \h </w:instrText>
      </w:r>
      <w:r w:rsidR="00092695">
        <w:fldChar w:fldCharType="separate"/>
      </w:r>
      <w:r>
        <w:t xml:space="preserve">Table </w:t>
      </w:r>
      <w:r>
        <w:rPr>
          <w:noProof/>
        </w:rPr>
        <w:t>5</w:t>
      </w:r>
      <w:r>
        <w:noBreakHyphen/>
      </w:r>
      <w:r>
        <w:rPr>
          <w:noProof/>
        </w:rPr>
        <w:t>1</w:t>
      </w:r>
      <w:r w:rsidR="00092695">
        <w:fldChar w:fldCharType="end"/>
      </w:r>
      <w:r>
        <w:t xml:space="preserve"> </w:t>
      </w:r>
      <w:r w:rsidRPr="00B02F0F">
        <w:t>and discussed below</w:t>
      </w:r>
      <w:r>
        <w:t>.  The expected timing, likelihood and consequence have been estimated for each threat, and the risk of each threat has then been identified based on a simple risk matrix as follows:</w:t>
      </w:r>
    </w:p>
    <w:p w:rsidR="000E4357" w:rsidRDefault="000E4357" w:rsidP="000E4357">
      <w:pPr>
        <w:pStyle w:val="T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1134"/>
        <w:gridCol w:w="2127"/>
        <w:gridCol w:w="1984"/>
        <w:gridCol w:w="1816"/>
      </w:tblGrid>
      <w:tr w:rsidR="000E4357" w:rsidTr="000F1040">
        <w:tc>
          <w:tcPr>
            <w:tcW w:w="2551" w:type="dxa"/>
            <w:gridSpan w:val="2"/>
            <w:vMerge w:val="restart"/>
            <w:shd w:val="clear" w:color="auto" w:fill="D9D9D9"/>
          </w:tcPr>
          <w:p w:rsidR="000E4357" w:rsidRPr="007964AA" w:rsidRDefault="000E4357" w:rsidP="000F1040">
            <w:pPr>
              <w:pStyle w:val="Numbers"/>
              <w:numPr>
                <w:ilvl w:val="0"/>
                <w:numId w:val="0"/>
              </w:numPr>
              <w:jc w:val="left"/>
              <w:rPr>
                <w:b/>
              </w:rPr>
            </w:pPr>
          </w:p>
        </w:tc>
        <w:tc>
          <w:tcPr>
            <w:tcW w:w="5927" w:type="dxa"/>
            <w:gridSpan w:val="3"/>
            <w:shd w:val="clear" w:color="auto" w:fill="D9D9D9"/>
          </w:tcPr>
          <w:p w:rsidR="000E4357" w:rsidRPr="007964AA" w:rsidRDefault="000E4357" w:rsidP="000F1040">
            <w:pPr>
              <w:pStyle w:val="Numbers"/>
              <w:numPr>
                <w:ilvl w:val="0"/>
                <w:numId w:val="0"/>
              </w:numPr>
              <w:rPr>
                <w:b/>
              </w:rPr>
            </w:pPr>
            <w:r w:rsidRPr="007964AA">
              <w:rPr>
                <w:b/>
              </w:rPr>
              <w:t>Consequence</w:t>
            </w:r>
          </w:p>
        </w:tc>
      </w:tr>
      <w:tr w:rsidR="000E4357" w:rsidTr="000F1040">
        <w:tc>
          <w:tcPr>
            <w:tcW w:w="2551" w:type="dxa"/>
            <w:gridSpan w:val="2"/>
            <w:vMerge/>
            <w:shd w:val="clear" w:color="auto" w:fill="D9D9D9"/>
          </w:tcPr>
          <w:p w:rsidR="000E4357" w:rsidRPr="007964AA" w:rsidRDefault="000E4357" w:rsidP="000F1040">
            <w:pPr>
              <w:pStyle w:val="Numbers"/>
              <w:numPr>
                <w:ilvl w:val="0"/>
                <w:numId w:val="0"/>
              </w:numPr>
              <w:jc w:val="left"/>
              <w:rPr>
                <w:b/>
              </w:rPr>
            </w:pPr>
          </w:p>
        </w:tc>
        <w:tc>
          <w:tcPr>
            <w:tcW w:w="2127" w:type="dxa"/>
            <w:shd w:val="clear" w:color="auto" w:fill="D9D9D9"/>
          </w:tcPr>
          <w:p w:rsidR="000E4357" w:rsidRPr="007964AA" w:rsidRDefault="000E4357" w:rsidP="000F1040">
            <w:pPr>
              <w:pStyle w:val="Numbers"/>
              <w:numPr>
                <w:ilvl w:val="0"/>
                <w:numId w:val="0"/>
              </w:numPr>
              <w:rPr>
                <w:b/>
              </w:rPr>
            </w:pPr>
            <w:r w:rsidRPr="007964AA">
              <w:rPr>
                <w:b/>
              </w:rPr>
              <w:t>Minor</w:t>
            </w:r>
          </w:p>
        </w:tc>
        <w:tc>
          <w:tcPr>
            <w:tcW w:w="1984" w:type="dxa"/>
            <w:shd w:val="clear" w:color="auto" w:fill="D9D9D9"/>
          </w:tcPr>
          <w:p w:rsidR="000E4357" w:rsidRPr="007964AA" w:rsidRDefault="000E4357" w:rsidP="000F1040">
            <w:pPr>
              <w:pStyle w:val="Numbers"/>
              <w:numPr>
                <w:ilvl w:val="0"/>
                <w:numId w:val="0"/>
              </w:numPr>
              <w:rPr>
                <w:b/>
              </w:rPr>
            </w:pPr>
            <w:r w:rsidRPr="007964AA">
              <w:rPr>
                <w:b/>
              </w:rPr>
              <w:t>Moderate</w:t>
            </w:r>
          </w:p>
        </w:tc>
        <w:tc>
          <w:tcPr>
            <w:tcW w:w="1816" w:type="dxa"/>
            <w:shd w:val="clear" w:color="auto" w:fill="D9D9D9"/>
          </w:tcPr>
          <w:p w:rsidR="000E4357" w:rsidRPr="007964AA" w:rsidRDefault="000E4357" w:rsidP="000F1040">
            <w:pPr>
              <w:pStyle w:val="Numbers"/>
              <w:numPr>
                <w:ilvl w:val="0"/>
                <w:numId w:val="0"/>
              </w:numPr>
              <w:rPr>
                <w:b/>
              </w:rPr>
            </w:pPr>
            <w:r w:rsidRPr="007964AA">
              <w:rPr>
                <w:b/>
              </w:rPr>
              <w:t>Major</w:t>
            </w:r>
          </w:p>
        </w:tc>
      </w:tr>
      <w:tr w:rsidR="000E4357" w:rsidTr="000F1040">
        <w:trPr>
          <w:trHeight w:val="348"/>
        </w:trPr>
        <w:tc>
          <w:tcPr>
            <w:tcW w:w="1417" w:type="dxa"/>
            <w:vMerge w:val="restart"/>
            <w:shd w:val="clear" w:color="auto" w:fill="D9D9D9"/>
          </w:tcPr>
          <w:p w:rsidR="000E4357" w:rsidRPr="007964AA" w:rsidRDefault="000E4357" w:rsidP="000F1040">
            <w:pPr>
              <w:pStyle w:val="Numbers"/>
              <w:numPr>
                <w:ilvl w:val="0"/>
                <w:numId w:val="0"/>
              </w:numPr>
              <w:jc w:val="left"/>
              <w:rPr>
                <w:b/>
              </w:rPr>
            </w:pPr>
            <w:r w:rsidRPr="007964AA">
              <w:rPr>
                <w:b/>
              </w:rPr>
              <w:t>Likelihood</w:t>
            </w:r>
          </w:p>
        </w:tc>
        <w:tc>
          <w:tcPr>
            <w:tcW w:w="1134" w:type="dxa"/>
            <w:shd w:val="clear" w:color="auto" w:fill="D9D9D9"/>
          </w:tcPr>
          <w:p w:rsidR="000E4357" w:rsidRPr="007964AA" w:rsidRDefault="000E4357" w:rsidP="000F1040">
            <w:pPr>
              <w:pStyle w:val="Numbers"/>
              <w:numPr>
                <w:ilvl w:val="0"/>
                <w:numId w:val="0"/>
              </w:numPr>
              <w:jc w:val="left"/>
              <w:rPr>
                <w:b/>
              </w:rPr>
            </w:pPr>
            <w:r w:rsidRPr="007964AA">
              <w:rPr>
                <w:b/>
              </w:rPr>
              <w:t>High</w:t>
            </w:r>
          </w:p>
        </w:tc>
        <w:tc>
          <w:tcPr>
            <w:tcW w:w="2127" w:type="dxa"/>
            <w:shd w:val="clear" w:color="auto" w:fill="FFCC99"/>
          </w:tcPr>
          <w:p w:rsidR="000E4357" w:rsidRDefault="000E4357" w:rsidP="000F1040">
            <w:pPr>
              <w:pStyle w:val="Numbers"/>
              <w:numPr>
                <w:ilvl w:val="0"/>
                <w:numId w:val="0"/>
              </w:numPr>
            </w:pPr>
            <w:r>
              <w:t>Medium</w:t>
            </w:r>
          </w:p>
        </w:tc>
        <w:tc>
          <w:tcPr>
            <w:tcW w:w="1984" w:type="dxa"/>
            <w:shd w:val="clear" w:color="auto" w:fill="FF0000"/>
          </w:tcPr>
          <w:p w:rsidR="000E4357" w:rsidRDefault="000E4357" w:rsidP="000F1040">
            <w:pPr>
              <w:pStyle w:val="Numbers"/>
              <w:numPr>
                <w:ilvl w:val="0"/>
                <w:numId w:val="0"/>
              </w:numPr>
            </w:pPr>
            <w:r>
              <w:t>High</w:t>
            </w:r>
          </w:p>
        </w:tc>
        <w:tc>
          <w:tcPr>
            <w:tcW w:w="1816" w:type="dxa"/>
            <w:shd w:val="clear" w:color="auto" w:fill="FF0000"/>
          </w:tcPr>
          <w:p w:rsidR="000E4357" w:rsidRDefault="000E4357" w:rsidP="000F1040">
            <w:pPr>
              <w:pStyle w:val="Numbers"/>
              <w:numPr>
                <w:ilvl w:val="0"/>
                <w:numId w:val="0"/>
              </w:numPr>
            </w:pPr>
            <w:r>
              <w:t>High</w:t>
            </w:r>
          </w:p>
        </w:tc>
      </w:tr>
      <w:tr w:rsidR="000E4357" w:rsidTr="000F1040">
        <w:tc>
          <w:tcPr>
            <w:tcW w:w="1417" w:type="dxa"/>
            <w:vMerge/>
            <w:shd w:val="clear" w:color="auto" w:fill="D9D9D9"/>
          </w:tcPr>
          <w:p w:rsidR="000E4357" w:rsidRPr="007964AA" w:rsidRDefault="000E4357" w:rsidP="000F1040">
            <w:pPr>
              <w:pStyle w:val="Numbers"/>
              <w:ind w:left="0"/>
              <w:jc w:val="left"/>
              <w:rPr>
                <w:b/>
              </w:rPr>
            </w:pPr>
          </w:p>
        </w:tc>
        <w:tc>
          <w:tcPr>
            <w:tcW w:w="1134" w:type="dxa"/>
            <w:shd w:val="clear" w:color="auto" w:fill="D9D9D9"/>
          </w:tcPr>
          <w:p w:rsidR="000E4357" w:rsidRPr="007964AA" w:rsidRDefault="000E4357" w:rsidP="000F1040">
            <w:pPr>
              <w:pStyle w:val="Numbers"/>
              <w:numPr>
                <w:ilvl w:val="0"/>
                <w:numId w:val="0"/>
              </w:numPr>
              <w:jc w:val="left"/>
              <w:rPr>
                <w:b/>
              </w:rPr>
            </w:pPr>
            <w:r w:rsidRPr="007964AA">
              <w:rPr>
                <w:b/>
              </w:rPr>
              <w:t>Medium</w:t>
            </w:r>
          </w:p>
        </w:tc>
        <w:tc>
          <w:tcPr>
            <w:tcW w:w="2127" w:type="dxa"/>
            <w:shd w:val="clear" w:color="auto" w:fill="FFFF99"/>
          </w:tcPr>
          <w:p w:rsidR="000E4357" w:rsidRDefault="000E4357" w:rsidP="000F1040">
            <w:pPr>
              <w:pStyle w:val="Numbers"/>
              <w:numPr>
                <w:ilvl w:val="0"/>
                <w:numId w:val="0"/>
              </w:numPr>
            </w:pPr>
            <w:r>
              <w:t>Low</w:t>
            </w:r>
          </w:p>
        </w:tc>
        <w:tc>
          <w:tcPr>
            <w:tcW w:w="1984" w:type="dxa"/>
            <w:shd w:val="clear" w:color="auto" w:fill="FFCC99"/>
          </w:tcPr>
          <w:p w:rsidR="000E4357" w:rsidRDefault="000E4357" w:rsidP="000F1040">
            <w:pPr>
              <w:pStyle w:val="Numbers"/>
              <w:numPr>
                <w:ilvl w:val="0"/>
                <w:numId w:val="0"/>
              </w:numPr>
            </w:pPr>
            <w:r>
              <w:t>Medium</w:t>
            </w:r>
          </w:p>
        </w:tc>
        <w:tc>
          <w:tcPr>
            <w:tcW w:w="1816" w:type="dxa"/>
            <w:shd w:val="clear" w:color="auto" w:fill="FF0000"/>
          </w:tcPr>
          <w:p w:rsidR="000E4357" w:rsidRDefault="000E4357" w:rsidP="000F1040">
            <w:pPr>
              <w:pStyle w:val="Numbers"/>
              <w:numPr>
                <w:ilvl w:val="0"/>
                <w:numId w:val="0"/>
              </w:numPr>
            </w:pPr>
            <w:r>
              <w:t>High</w:t>
            </w:r>
          </w:p>
        </w:tc>
      </w:tr>
      <w:tr w:rsidR="000E4357" w:rsidTr="000F1040">
        <w:tc>
          <w:tcPr>
            <w:tcW w:w="1417" w:type="dxa"/>
            <w:vMerge/>
            <w:shd w:val="clear" w:color="auto" w:fill="D9D9D9"/>
          </w:tcPr>
          <w:p w:rsidR="000E4357" w:rsidRPr="007964AA" w:rsidRDefault="000E4357" w:rsidP="000F1040">
            <w:pPr>
              <w:pStyle w:val="Numbers"/>
              <w:ind w:left="0"/>
              <w:jc w:val="left"/>
              <w:rPr>
                <w:b/>
              </w:rPr>
            </w:pPr>
          </w:p>
        </w:tc>
        <w:tc>
          <w:tcPr>
            <w:tcW w:w="1134" w:type="dxa"/>
            <w:shd w:val="clear" w:color="auto" w:fill="D9D9D9"/>
          </w:tcPr>
          <w:p w:rsidR="000E4357" w:rsidRPr="007964AA" w:rsidRDefault="000E4357" w:rsidP="000F1040">
            <w:pPr>
              <w:pStyle w:val="Numbers"/>
              <w:numPr>
                <w:ilvl w:val="0"/>
                <w:numId w:val="0"/>
              </w:numPr>
              <w:jc w:val="left"/>
              <w:rPr>
                <w:b/>
              </w:rPr>
            </w:pPr>
            <w:r w:rsidRPr="007964AA">
              <w:rPr>
                <w:b/>
              </w:rPr>
              <w:t>Low</w:t>
            </w:r>
          </w:p>
        </w:tc>
        <w:tc>
          <w:tcPr>
            <w:tcW w:w="2127" w:type="dxa"/>
            <w:shd w:val="clear" w:color="auto" w:fill="FFFF99"/>
          </w:tcPr>
          <w:p w:rsidR="000E4357" w:rsidRDefault="000E4357" w:rsidP="000F1040">
            <w:pPr>
              <w:pStyle w:val="Numbers"/>
              <w:numPr>
                <w:ilvl w:val="0"/>
                <w:numId w:val="0"/>
              </w:numPr>
            </w:pPr>
            <w:r>
              <w:t>Low</w:t>
            </w:r>
          </w:p>
        </w:tc>
        <w:tc>
          <w:tcPr>
            <w:tcW w:w="1984" w:type="dxa"/>
            <w:shd w:val="clear" w:color="auto" w:fill="FFFF99"/>
          </w:tcPr>
          <w:p w:rsidR="000E4357" w:rsidRDefault="000E4357" w:rsidP="000F1040">
            <w:pPr>
              <w:pStyle w:val="Numbers"/>
              <w:numPr>
                <w:ilvl w:val="0"/>
                <w:numId w:val="0"/>
              </w:numPr>
            </w:pPr>
            <w:r>
              <w:t>Low</w:t>
            </w:r>
          </w:p>
        </w:tc>
        <w:tc>
          <w:tcPr>
            <w:tcW w:w="1816" w:type="dxa"/>
            <w:shd w:val="clear" w:color="auto" w:fill="FFCC99"/>
          </w:tcPr>
          <w:p w:rsidR="000E4357" w:rsidRDefault="000E4357" w:rsidP="000F1040">
            <w:pPr>
              <w:pStyle w:val="Numbers"/>
              <w:numPr>
                <w:ilvl w:val="0"/>
                <w:numId w:val="0"/>
              </w:numPr>
            </w:pPr>
            <w:r>
              <w:t>Medium</w:t>
            </w:r>
          </w:p>
        </w:tc>
      </w:tr>
    </w:tbl>
    <w:p w:rsidR="000E4357" w:rsidRDefault="000E4357" w:rsidP="000E4357">
      <w:pPr>
        <w:pStyle w:val="Text"/>
      </w:pPr>
    </w:p>
    <w:p w:rsidR="000E4357" w:rsidRDefault="000E4357" w:rsidP="000E4357">
      <w:pPr>
        <w:pStyle w:val="Text"/>
      </w:pPr>
      <w:r>
        <w:t xml:space="preserve">Note that these threat types and the risk scores are largely consistent with independent risk assessments for the site undertaken by Carey </w:t>
      </w:r>
      <w:r w:rsidRPr="00326DB1">
        <w:t>et al.</w:t>
      </w:r>
      <w:r>
        <w:t xml:space="preserve"> (2007).  </w:t>
      </w:r>
    </w:p>
    <w:p w:rsidR="000E4357" w:rsidRPr="002B30C6" w:rsidRDefault="000E4357" w:rsidP="000E4357">
      <w:pPr>
        <w:pStyle w:val="Heading3"/>
        <w:ind w:left="851" w:hanging="851"/>
      </w:pPr>
      <w:bookmarkStart w:id="5" w:name="_Toc295374229"/>
      <w:r w:rsidRPr="002B30C6">
        <w:t>Recreational Activities</w:t>
      </w:r>
      <w:bookmarkEnd w:id="5"/>
    </w:p>
    <w:p w:rsidR="000E4357" w:rsidRPr="002B30C6" w:rsidRDefault="000E4357" w:rsidP="000E4357">
      <w:pPr>
        <w:pStyle w:val="Text"/>
      </w:pPr>
      <w:r w:rsidRPr="002B30C6">
        <w:t>Boating is the most popular recreational activity in Corner Inlet (P</w:t>
      </w:r>
      <w:r>
        <w:t xml:space="preserve">arks </w:t>
      </w:r>
      <w:r w:rsidRPr="002B30C6">
        <w:t>V</w:t>
      </w:r>
      <w:r>
        <w:t>ictoria</w:t>
      </w:r>
      <w:r w:rsidRPr="002B30C6">
        <w:t xml:space="preserve"> 2005)</w:t>
      </w:r>
      <w:r>
        <w:t xml:space="preserve">. </w:t>
      </w:r>
      <w:r w:rsidRPr="002B30C6">
        <w:t>A range of boating</w:t>
      </w:r>
      <w:r>
        <w:t>-</w:t>
      </w:r>
      <w:r w:rsidRPr="002B30C6">
        <w:t xml:space="preserve">related threats, especially to seagrass beds, </w:t>
      </w:r>
      <w:r>
        <w:t>are</w:t>
      </w:r>
      <w:r w:rsidRPr="002B30C6">
        <w:t xml:space="preserve"> apparent for Corner Inlet (P</w:t>
      </w:r>
      <w:r>
        <w:t xml:space="preserve">arks </w:t>
      </w:r>
      <w:r w:rsidRPr="002B30C6">
        <w:t>V</w:t>
      </w:r>
      <w:r>
        <w:t>ictoria</w:t>
      </w:r>
      <w:r w:rsidRPr="002B30C6">
        <w:t xml:space="preserve"> 2005), including:</w:t>
      </w:r>
    </w:p>
    <w:p w:rsidR="000E4357" w:rsidRPr="002B30C6" w:rsidRDefault="000E4357" w:rsidP="000E4357">
      <w:pPr>
        <w:pStyle w:val="Bullets"/>
      </w:pPr>
      <w:r>
        <w:t>n</w:t>
      </w:r>
      <w:r w:rsidRPr="002B30C6">
        <w:t>avigation across shallow seagrass beds at, or on either side, of low tide, resu</w:t>
      </w:r>
      <w:r>
        <w:t>lting in direct physical damage</w:t>
      </w:r>
    </w:p>
    <w:p w:rsidR="000E4357" w:rsidRPr="002B30C6" w:rsidRDefault="000E4357" w:rsidP="000E4357">
      <w:pPr>
        <w:pStyle w:val="Bullets"/>
      </w:pPr>
      <w:r>
        <w:t>d</w:t>
      </w:r>
      <w:r w:rsidRPr="002B30C6">
        <w:t>isc</w:t>
      </w:r>
      <w:r>
        <w:t>harges of sewage, oil or litter</w:t>
      </w:r>
    </w:p>
    <w:p w:rsidR="000E4357" w:rsidRPr="002B30C6" w:rsidRDefault="000E4357" w:rsidP="000E4357">
      <w:pPr>
        <w:pStyle w:val="Bullets"/>
      </w:pPr>
      <w:r>
        <w:t>b</w:t>
      </w:r>
      <w:r w:rsidRPr="002B30C6">
        <w:t>ow wash, especially from boats exceeding about</w:t>
      </w:r>
      <w:r>
        <w:t xml:space="preserve"> five knots</w:t>
      </w:r>
    </w:p>
    <w:p w:rsidR="000E4357" w:rsidRPr="002B30C6" w:rsidRDefault="000E4357" w:rsidP="000E4357">
      <w:pPr>
        <w:pStyle w:val="Bullets"/>
      </w:pPr>
      <w:r>
        <w:t>a</w:t>
      </w:r>
      <w:r w:rsidRPr="002B30C6">
        <w:t xml:space="preserve">nchoring in sensitive seagrass areas (see also Walker </w:t>
      </w:r>
      <w:r w:rsidRPr="00276823">
        <w:rPr>
          <w:i/>
        </w:rPr>
        <w:t>et al</w:t>
      </w:r>
      <w:r w:rsidRPr="002B30C6">
        <w:t xml:space="preserve">. 1989). </w:t>
      </w:r>
    </w:p>
    <w:p w:rsidR="000E4357" w:rsidRPr="002B30C6" w:rsidRDefault="000E4357" w:rsidP="000E4357">
      <w:pPr>
        <w:pStyle w:val="Text"/>
      </w:pPr>
      <w:r w:rsidRPr="002B30C6">
        <w:t xml:space="preserve">This is particularly an issue with </w:t>
      </w:r>
      <w:r w:rsidRPr="008372B4">
        <w:rPr>
          <w:i/>
        </w:rPr>
        <w:t>Posidonia</w:t>
      </w:r>
      <w:r>
        <w:t xml:space="preserve"> given its slow growth and re</w:t>
      </w:r>
      <w:r w:rsidRPr="002B30C6">
        <w:t>colon</w:t>
      </w:r>
      <w:r>
        <w:t>i</w:t>
      </w:r>
      <w:r w:rsidRPr="002B30C6">
        <w:t>sation rates following disturbance (Meehan and West 2000)</w:t>
      </w:r>
      <w:r>
        <w:t xml:space="preserve">. </w:t>
      </w:r>
      <w:r w:rsidRPr="002B30C6">
        <w:t>However</w:t>
      </w:r>
      <w:r>
        <w:t>,</w:t>
      </w:r>
      <w:r w:rsidRPr="002B30C6">
        <w:t xml:space="preserve"> pioneer species such as </w:t>
      </w:r>
      <w:r w:rsidRPr="002B30C6">
        <w:rPr>
          <w:i/>
        </w:rPr>
        <w:t xml:space="preserve">Zostera muelleri </w:t>
      </w:r>
      <w:r w:rsidRPr="002B30C6">
        <w:t xml:space="preserve">and </w:t>
      </w:r>
      <w:r w:rsidRPr="002B30C6">
        <w:rPr>
          <w:i/>
        </w:rPr>
        <w:t>Heterozostera tasmanica</w:t>
      </w:r>
      <w:r w:rsidRPr="002B30C6">
        <w:t xml:space="preserve"> have a faster growth rate and adaptation</w:t>
      </w:r>
      <w:r>
        <w:t>s that allow rapid recolonisatio</w:t>
      </w:r>
      <w:r w:rsidRPr="002B30C6">
        <w:t>n following dist</w:t>
      </w:r>
      <w:r>
        <w:t>urbance, making them less at ri</w:t>
      </w:r>
      <w:r w:rsidRPr="002B30C6">
        <w:t xml:space="preserve">sk from disturbance than </w:t>
      </w:r>
      <w:r w:rsidRPr="002B30C6">
        <w:rPr>
          <w:i/>
        </w:rPr>
        <w:t>P. australis</w:t>
      </w:r>
      <w:r w:rsidRPr="002B30C6">
        <w:t xml:space="preserve"> (</w:t>
      </w:r>
      <w:r>
        <w:t xml:space="preserve">West and </w:t>
      </w:r>
      <w:r w:rsidRPr="002B30C6">
        <w:t>Larkum 198</w:t>
      </w:r>
      <w:r>
        <w:t>3</w:t>
      </w:r>
      <w:r w:rsidRPr="002B30C6">
        <w:t>).</w:t>
      </w:r>
    </w:p>
    <w:p w:rsidR="000E4357" w:rsidRPr="008B6DF8" w:rsidRDefault="000E4357" w:rsidP="000E4357">
      <w:pPr>
        <w:pStyle w:val="Text"/>
        <w:sectPr w:rsidR="000E4357" w:rsidRPr="008B6DF8" w:rsidSect="000E4357">
          <w:headerReference w:type="default" r:id="rId16"/>
          <w:footerReference w:type="default" r:id="rId17"/>
          <w:pgSz w:w="11907" w:h="16840"/>
          <w:pgMar w:top="1418" w:right="1134" w:bottom="1418" w:left="1134" w:header="851" w:footer="346" w:gutter="0"/>
          <w:pgNumType w:start="99"/>
          <w:cols w:space="720"/>
        </w:sectPr>
      </w:pPr>
    </w:p>
    <w:p w:rsidR="000E4357" w:rsidRDefault="000E4357" w:rsidP="000E4357">
      <w:pPr>
        <w:pStyle w:val="Caption"/>
      </w:pPr>
      <w:bookmarkStart w:id="6" w:name="_Ref244061054"/>
      <w:bookmarkStart w:id="7" w:name="_Ref260402553"/>
      <w:bookmarkStart w:id="8" w:name="_Toc295374288"/>
      <w:r>
        <w:lastRenderedPageBreak/>
        <w:t xml:space="preserve">Table </w:t>
      </w:r>
      <w:fldSimple w:instr=" STYLEREF 1 \s ">
        <w:r>
          <w:rPr>
            <w:noProof/>
          </w:rPr>
          <w:t>5</w:t>
        </w:r>
      </w:fldSimple>
      <w:r>
        <w:noBreakHyphen/>
      </w:r>
      <w:fldSimple w:instr=" SEQ Table \* ARABIC \s 1 ">
        <w:r>
          <w:rPr>
            <w:noProof/>
          </w:rPr>
          <w:t>1</w:t>
        </w:r>
      </w:fldSimple>
      <w:bookmarkEnd w:id="6"/>
      <w:bookmarkEnd w:id="7"/>
      <w:r>
        <w:t xml:space="preserve"> </w:t>
      </w:r>
      <w:r>
        <w:tab/>
        <w:t>Summary of Key Threats to the Ecological Character of the Corner Inlet Ramsar Site</w:t>
      </w:r>
      <w:bookmarkEnd w:id="8"/>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5670"/>
        <w:gridCol w:w="1701"/>
        <w:gridCol w:w="1842"/>
        <w:gridCol w:w="1701"/>
        <w:gridCol w:w="1560"/>
      </w:tblGrid>
      <w:tr w:rsidR="000E4357" w:rsidRPr="007964AA" w:rsidTr="000F1040">
        <w:trPr>
          <w:trHeight w:val="589"/>
          <w:tblHeader/>
        </w:trPr>
        <w:tc>
          <w:tcPr>
            <w:tcW w:w="1560"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Threat</w:t>
            </w:r>
          </w:p>
        </w:tc>
        <w:tc>
          <w:tcPr>
            <w:tcW w:w="5670"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Potential impacts to wetlands</w:t>
            </w:r>
          </w:p>
        </w:tc>
        <w:tc>
          <w:tcPr>
            <w:tcW w:w="1701"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Timing</w:t>
            </w:r>
          </w:p>
        </w:tc>
        <w:tc>
          <w:tcPr>
            <w:tcW w:w="1842"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Likelihood</w:t>
            </w:r>
          </w:p>
        </w:tc>
        <w:tc>
          <w:tcPr>
            <w:tcW w:w="1701"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Consequence</w:t>
            </w:r>
          </w:p>
        </w:tc>
        <w:tc>
          <w:tcPr>
            <w:tcW w:w="1560" w:type="dxa"/>
            <w:shd w:val="clear" w:color="auto" w:fill="D9D9D9"/>
          </w:tcPr>
          <w:p w:rsidR="000E4357" w:rsidRPr="007964AA" w:rsidRDefault="000E4357" w:rsidP="000F1040">
            <w:pPr>
              <w:pStyle w:val="Numbers"/>
              <w:numPr>
                <w:ilvl w:val="0"/>
                <w:numId w:val="0"/>
              </w:numPr>
              <w:spacing w:before="0"/>
              <w:rPr>
                <w:b/>
                <w:sz w:val="18"/>
                <w:szCs w:val="18"/>
              </w:rPr>
            </w:pPr>
            <w:r w:rsidRPr="007964AA">
              <w:rPr>
                <w:b/>
                <w:sz w:val="18"/>
                <w:szCs w:val="18"/>
              </w:rPr>
              <w:t>Risk</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Recreational activities</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Direct and indirect effects to habitats due to recreational activities (boat wash, anchor damage to seagrass, water quality impacts)</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Development impacts for tourism infrastructure developments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long-term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 xml:space="preserve">Natural resource utilisation </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Grazing impacts to vegetation</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Changes to fish stocks due to recreat</w:t>
            </w:r>
            <w:r>
              <w:rPr>
                <w:sz w:val="18"/>
                <w:szCs w:val="18"/>
              </w:rPr>
              <w:t>ional and commercial fishing</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Modifications to habitats due to fishing practices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medium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 xml:space="preserve">Low </w:t>
            </w:r>
            <w:r>
              <w:rPr>
                <w:sz w:val="18"/>
                <w:szCs w:val="18"/>
              </w:rPr>
              <w:t>to</w:t>
            </w:r>
            <w:r w:rsidRPr="007964AA">
              <w:rPr>
                <w:sz w:val="18"/>
                <w:szCs w:val="18"/>
              </w:rPr>
              <w:t xml:space="preserve"> 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 xml:space="preserve">Moderate </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Modified flow regimes</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Altered environmental process linked to river flows, including spawning and migrations of fish</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long-term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 xml:space="preserve">Pollutant </w:t>
            </w:r>
            <w:r>
              <w:rPr>
                <w:sz w:val="18"/>
                <w:szCs w:val="18"/>
              </w:rPr>
              <w:t>(sediment and nutrients) i</w:t>
            </w:r>
            <w:r w:rsidRPr="007964AA">
              <w:rPr>
                <w:sz w:val="18"/>
                <w:szCs w:val="18"/>
              </w:rPr>
              <w:t>nputs</w:t>
            </w:r>
            <w:r>
              <w:rPr>
                <w:sz w:val="18"/>
                <w:szCs w:val="18"/>
              </w:rPr>
              <w:t xml:space="preserve"> affecting water quality*</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Loss of seagrass and associated impairment of ec</w:t>
            </w:r>
            <w:r>
              <w:rPr>
                <w:sz w:val="18"/>
                <w:szCs w:val="18"/>
              </w:rPr>
              <w:t>ological functions</w:t>
            </w:r>
          </w:p>
          <w:p w:rsidR="000E4357" w:rsidRPr="007964AA" w:rsidRDefault="000E4357" w:rsidP="000F1040">
            <w:pPr>
              <w:pStyle w:val="Text"/>
              <w:tabs>
                <w:tab w:val="left" w:pos="1644"/>
                <w:tab w:val="left" w:pos="2041"/>
              </w:tabs>
              <w:spacing w:before="0" w:line="240" w:lineRule="auto"/>
              <w:ind w:left="0"/>
              <w:jc w:val="left"/>
              <w:rPr>
                <w:sz w:val="18"/>
                <w:szCs w:val="18"/>
              </w:rPr>
            </w:pPr>
            <w:r>
              <w:rPr>
                <w:sz w:val="18"/>
                <w:szCs w:val="18"/>
              </w:rPr>
              <w:t>Increase in algae</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Changes in biological assemblages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long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 to High (depending on location and degree of flushing)</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 to 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 to 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Future infrastructure development</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Removal of vegetation and habitats</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Changes to water quality and hydrodynamics</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Interruption of surface water/groundwater flow paths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Medium to long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 to 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 to 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Acid sulphate soils</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Water quality degradation and associated fish kills, or impairment to ecosystem functions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Medium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Low</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 to 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Oil spill/marine incident</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Injury/fatality of marine species and communities</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long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 to 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Pr>
                <w:sz w:val="18"/>
                <w:szCs w:val="18"/>
              </w:rPr>
              <w:t>Habitat loss resulting from seawalls* and u</w:t>
            </w:r>
            <w:r w:rsidRPr="007964AA">
              <w:rPr>
                <w:sz w:val="18"/>
                <w:szCs w:val="18"/>
              </w:rPr>
              <w:t>rban development</w:t>
            </w:r>
          </w:p>
        </w:tc>
        <w:tc>
          <w:tcPr>
            <w:tcW w:w="5670" w:type="dxa"/>
          </w:tcPr>
          <w:p w:rsidR="000E4357" w:rsidRDefault="000E4357" w:rsidP="000F1040">
            <w:pPr>
              <w:pStyle w:val="Text"/>
              <w:tabs>
                <w:tab w:val="left" w:pos="1644"/>
                <w:tab w:val="left" w:pos="2041"/>
              </w:tabs>
              <w:spacing w:before="0" w:line="240" w:lineRule="auto"/>
              <w:ind w:left="0"/>
              <w:jc w:val="left"/>
              <w:rPr>
                <w:sz w:val="18"/>
                <w:szCs w:val="18"/>
              </w:rPr>
            </w:pPr>
            <w:r>
              <w:rPr>
                <w:sz w:val="18"/>
                <w:szCs w:val="18"/>
              </w:rPr>
              <w:t>Loss of habitat</w:t>
            </w:r>
          </w:p>
          <w:p w:rsidR="000E4357" w:rsidRDefault="000E4357" w:rsidP="000F1040">
            <w:pPr>
              <w:pStyle w:val="Text"/>
              <w:tabs>
                <w:tab w:val="left" w:pos="1644"/>
                <w:tab w:val="left" w:pos="2041"/>
              </w:tabs>
              <w:spacing w:before="0" w:line="240" w:lineRule="auto"/>
              <w:ind w:left="0"/>
              <w:jc w:val="left"/>
              <w:rPr>
                <w:sz w:val="18"/>
                <w:szCs w:val="18"/>
              </w:rPr>
            </w:pPr>
            <w:r>
              <w:rPr>
                <w:sz w:val="18"/>
                <w:szCs w:val="18"/>
              </w:rPr>
              <w:t>Pollutants in stormwater runoff and sewage</w:t>
            </w:r>
          </w:p>
          <w:p w:rsidR="000E4357" w:rsidRPr="007964AA" w:rsidRDefault="000E4357" w:rsidP="000F1040">
            <w:pPr>
              <w:pStyle w:val="Text"/>
              <w:tabs>
                <w:tab w:val="left" w:pos="1644"/>
                <w:tab w:val="left" w:pos="2041"/>
              </w:tabs>
              <w:spacing w:before="0" w:line="240" w:lineRule="auto"/>
              <w:ind w:left="0"/>
              <w:jc w:val="left"/>
              <w:rPr>
                <w:sz w:val="18"/>
                <w:szCs w:val="18"/>
              </w:rPr>
            </w:pPr>
            <w:r>
              <w:rPr>
                <w:sz w:val="18"/>
                <w:szCs w:val="18"/>
              </w:rPr>
              <w:t xml:space="preserve">Weeds and pest fauna </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Medium to long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 to 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 to 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Climate change</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Reduction of freshwater species</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Reduction of suitable fauna habitat</w:t>
            </w:r>
          </w:p>
          <w:p w:rsidR="000E4357" w:rsidRDefault="000E4357" w:rsidP="000F1040">
            <w:pPr>
              <w:pStyle w:val="Text"/>
              <w:tabs>
                <w:tab w:val="left" w:pos="1644"/>
                <w:tab w:val="left" w:pos="2041"/>
              </w:tabs>
              <w:spacing w:before="0" w:line="240" w:lineRule="auto"/>
              <w:ind w:left="0"/>
              <w:jc w:val="left"/>
              <w:rPr>
                <w:sz w:val="18"/>
                <w:szCs w:val="18"/>
              </w:rPr>
            </w:pPr>
            <w:r w:rsidRPr="007964AA">
              <w:rPr>
                <w:sz w:val="18"/>
                <w:szCs w:val="18"/>
              </w:rPr>
              <w:t>Greater fire risk</w:t>
            </w:r>
          </w:p>
          <w:p w:rsidR="000E4357" w:rsidRPr="007964AA" w:rsidRDefault="000E4357" w:rsidP="000F1040">
            <w:pPr>
              <w:pStyle w:val="Text"/>
              <w:tabs>
                <w:tab w:val="left" w:pos="1644"/>
                <w:tab w:val="left" w:pos="2041"/>
              </w:tabs>
              <w:spacing w:before="0" w:line="240" w:lineRule="auto"/>
              <w:ind w:left="0"/>
              <w:jc w:val="left"/>
              <w:rPr>
                <w:sz w:val="18"/>
                <w:szCs w:val="18"/>
              </w:rPr>
            </w:pPr>
            <w:r>
              <w:rPr>
                <w:sz w:val="18"/>
                <w:szCs w:val="18"/>
              </w:rPr>
              <w:t>Increase in disturbance due to storm surge</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Long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 to high</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Major</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High</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Weeds</w:t>
            </w:r>
            <w:r>
              <w:rPr>
                <w:sz w:val="18"/>
                <w:szCs w:val="18"/>
              </w:rPr>
              <w:t>*</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Reduced regeneration of native flora</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Medium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Medium</w:t>
            </w:r>
          </w:p>
        </w:tc>
      </w:tr>
      <w:tr w:rsidR="000E4357" w:rsidRPr="007964AA" w:rsidTr="000F1040">
        <w:tc>
          <w:tcPr>
            <w:tcW w:w="1560" w:type="dxa"/>
          </w:tcPr>
          <w:p w:rsidR="000E4357" w:rsidRPr="007964AA" w:rsidRDefault="000E4357" w:rsidP="000F1040">
            <w:pPr>
              <w:pStyle w:val="Text"/>
              <w:tabs>
                <w:tab w:val="left" w:pos="1644"/>
                <w:tab w:val="left" w:pos="2041"/>
              </w:tabs>
              <w:spacing w:before="0" w:line="240" w:lineRule="auto"/>
              <w:ind w:left="0"/>
              <w:jc w:val="left"/>
              <w:rPr>
                <w:sz w:val="18"/>
                <w:szCs w:val="18"/>
              </w:rPr>
            </w:pPr>
            <w:r>
              <w:rPr>
                <w:sz w:val="18"/>
                <w:szCs w:val="18"/>
              </w:rPr>
              <w:t>Exotic pest fauna*</w:t>
            </w:r>
          </w:p>
        </w:tc>
        <w:tc>
          <w:tcPr>
            <w:tcW w:w="5670" w:type="dxa"/>
          </w:tcPr>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Disturbance of birds and other fauna, resulting in impairment to ecological functions (such as bird breeding and feeding)</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Predation of native fauna</w:t>
            </w:r>
          </w:p>
          <w:p w:rsidR="000E4357" w:rsidRPr="007964AA" w:rsidRDefault="000E4357" w:rsidP="000F1040">
            <w:pPr>
              <w:pStyle w:val="Text"/>
              <w:tabs>
                <w:tab w:val="left" w:pos="1644"/>
                <w:tab w:val="left" w:pos="2041"/>
              </w:tabs>
              <w:spacing w:before="0" w:line="240" w:lineRule="auto"/>
              <w:ind w:left="0"/>
              <w:jc w:val="left"/>
              <w:rPr>
                <w:sz w:val="18"/>
                <w:szCs w:val="18"/>
              </w:rPr>
            </w:pPr>
            <w:r w:rsidRPr="007964AA">
              <w:rPr>
                <w:sz w:val="18"/>
                <w:szCs w:val="18"/>
              </w:rPr>
              <w:t>Modification of marine fauna assemblages due to competition</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Short to Medium term</w:t>
            </w:r>
          </w:p>
        </w:tc>
        <w:tc>
          <w:tcPr>
            <w:tcW w:w="1842"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c>
          <w:tcPr>
            <w:tcW w:w="1701" w:type="dxa"/>
          </w:tcPr>
          <w:p w:rsidR="000E4357" w:rsidRPr="007964AA" w:rsidRDefault="000E4357" w:rsidP="000F1040">
            <w:pPr>
              <w:pStyle w:val="Numbers"/>
              <w:numPr>
                <w:ilvl w:val="0"/>
                <w:numId w:val="0"/>
              </w:numPr>
              <w:spacing w:before="0"/>
              <w:rPr>
                <w:sz w:val="18"/>
                <w:szCs w:val="18"/>
              </w:rPr>
            </w:pPr>
            <w:r w:rsidRPr="007964AA">
              <w:rPr>
                <w:sz w:val="18"/>
                <w:szCs w:val="18"/>
              </w:rPr>
              <w:t>Moderate</w:t>
            </w:r>
          </w:p>
        </w:tc>
        <w:tc>
          <w:tcPr>
            <w:tcW w:w="1560" w:type="dxa"/>
          </w:tcPr>
          <w:p w:rsidR="000E4357" w:rsidRPr="007964AA" w:rsidRDefault="000E4357" w:rsidP="000F1040">
            <w:pPr>
              <w:pStyle w:val="Numbers"/>
              <w:numPr>
                <w:ilvl w:val="0"/>
                <w:numId w:val="0"/>
              </w:numPr>
              <w:spacing w:before="0"/>
              <w:rPr>
                <w:sz w:val="18"/>
                <w:szCs w:val="18"/>
              </w:rPr>
            </w:pPr>
            <w:r w:rsidRPr="007964AA">
              <w:rPr>
                <w:sz w:val="18"/>
                <w:szCs w:val="18"/>
              </w:rPr>
              <w:t>Low to medium</w:t>
            </w:r>
          </w:p>
        </w:tc>
      </w:tr>
    </w:tbl>
    <w:p w:rsidR="000E4357" w:rsidRPr="00E22355" w:rsidRDefault="000E4357" w:rsidP="000E4357">
      <w:pPr>
        <w:pStyle w:val="Heading3"/>
        <w:numPr>
          <w:ilvl w:val="0"/>
          <w:numId w:val="0"/>
        </w:numPr>
      </w:pPr>
      <w:bookmarkStart w:id="9" w:name="_Toc295374230"/>
      <w:r w:rsidRPr="00E22355">
        <w:rPr>
          <w:rFonts w:ascii="Arial" w:hAnsi="Arial"/>
          <w:b w:val="0"/>
          <w:kern w:val="0"/>
          <w:sz w:val="18"/>
          <w:szCs w:val="18"/>
        </w:rPr>
        <w:t xml:space="preserve">(*) </w:t>
      </w:r>
      <w:r>
        <w:rPr>
          <w:rFonts w:ascii="Arial" w:hAnsi="Arial"/>
          <w:b w:val="0"/>
          <w:kern w:val="0"/>
          <w:sz w:val="18"/>
          <w:szCs w:val="18"/>
        </w:rPr>
        <w:t>identified as a key hazard for the site by Carey</w:t>
      </w:r>
      <w:r w:rsidRPr="00E22355">
        <w:rPr>
          <w:rFonts w:ascii="Arial" w:hAnsi="Arial"/>
          <w:b w:val="0"/>
          <w:i/>
          <w:kern w:val="0"/>
          <w:sz w:val="18"/>
          <w:szCs w:val="18"/>
        </w:rPr>
        <w:t xml:space="preserve"> </w:t>
      </w:r>
      <w:r w:rsidRPr="00326DB1">
        <w:rPr>
          <w:rFonts w:ascii="Arial" w:hAnsi="Arial"/>
          <w:b w:val="0"/>
          <w:kern w:val="0"/>
          <w:sz w:val="18"/>
          <w:szCs w:val="18"/>
        </w:rPr>
        <w:t>et al.</w:t>
      </w:r>
      <w:r>
        <w:rPr>
          <w:rFonts w:ascii="Arial" w:hAnsi="Arial"/>
          <w:b w:val="0"/>
          <w:kern w:val="0"/>
          <w:sz w:val="18"/>
          <w:szCs w:val="18"/>
        </w:rPr>
        <w:t xml:space="preserve"> (2007)</w:t>
      </w:r>
      <w:bookmarkEnd w:id="9"/>
    </w:p>
    <w:p w:rsidR="000E4357" w:rsidRDefault="000E4357" w:rsidP="000E4357">
      <w:pPr>
        <w:pStyle w:val="Text"/>
      </w:pPr>
    </w:p>
    <w:p w:rsidR="000E4357" w:rsidRPr="00E22355" w:rsidRDefault="000E4357" w:rsidP="000E4357">
      <w:pPr>
        <w:pStyle w:val="Text"/>
        <w:sectPr w:rsidR="000E4357" w:rsidRPr="00E22355" w:rsidSect="00FB1F30">
          <w:headerReference w:type="default" r:id="rId18"/>
          <w:footerReference w:type="default" r:id="rId19"/>
          <w:pgSz w:w="16840" w:h="11907" w:orient="landscape"/>
          <w:pgMar w:top="1134" w:right="1418" w:bottom="1134" w:left="1418" w:header="851" w:footer="337" w:gutter="0"/>
          <w:cols w:space="720"/>
        </w:sectPr>
      </w:pPr>
    </w:p>
    <w:p w:rsidR="000E4357" w:rsidRPr="009A0F70" w:rsidRDefault="000E4357" w:rsidP="000E4357">
      <w:pPr>
        <w:pStyle w:val="Text"/>
        <w:rPr>
          <w:highlight w:val="green"/>
        </w:rPr>
      </w:pPr>
      <w:r w:rsidRPr="002B30C6">
        <w:lastRenderedPageBreak/>
        <w:t>Large tourism developments would have the potential to place additional pressures on the marine environment of Corner Inlet</w:t>
      </w:r>
      <w:r>
        <w:t xml:space="preserve">. Given the anticipated increase in population growth both locally and in </w:t>
      </w:r>
      <w:smartTag w:uri="urn:schemas-microsoft-com:office:smarttags" w:element="place">
        <w:smartTag w:uri="urn:schemas-microsoft-com:office:smarttags" w:element="State">
          <w:r>
            <w:t>Victoria</w:t>
          </w:r>
        </w:smartTag>
      </w:smartTag>
      <w:r>
        <w:t xml:space="preserve"> generally, there will be commensurate pressures on tourist facilities and environmental resources of the site. </w:t>
      </w:r>
    </w:p>
    <w:p w:rsidR="000E4357" w:rsidRPr="00302B40" w:rsidRDefault="000E4357" w:rsidP="000E4357">
      <w:pPr>
        <w:pStyle w:val="Heading3"/>
        <w:ind w:left="851" w:hanging="851"/>
      </w:pPr>
      <w:bookmarkStart w:id="10" w:name="_Toc295374231"/>
      <w:r w:rsidRPr="00302B40">
        <w:t>Natural Resource Utilisation</w:t>
      </w:r>
      <w:bookmarkEnd w:id="10"/>
    </w:p>
    <w:p w:rsidR="000E4357" w:rsidRDefault="000E4357" w:rsidP="000E4357">
      <w:pPr>
        <w:pStyle w:val="Bullets"/>
        <w:numPr>
          <w:ilvl w:val="0"/>
          <w:numId w:val="0"/>
        </w:numPr>
        <w:ind w:left="851"/>
      </w:pPr>
      <w:r>
        <w:t xml:space="preserve">Grazing of vegetation and trampling of wetland habitat by native and non-native species as well as resource utilisation in terms of small scale commercial and larger scale recreational fishing effort that occurs in the wetland are identified as ongoing threats. The large sand islands (for example, </w:t>
      </w:r>
      <w:smartTag w:uri="urn:schemas-microsoft-com:office:smarttags" w:element="place">
        <w:smartTag w:uri="urn:schemas-microsoft-com:office:smarttags" w:element="PlaceName">
          <w:r>
            <w:t>Big</w:t>
          </w:r>
        </w:smartTag>
        <w:r>
          <w:t xml:space="preserve"> </w:t>
        </w:r>
        <w:smartTag w:uri="urn:schemas-microsoft-com:office:smarttags" w:element="PlaceName">
          <w:r>
            <w:t>Snake</w:t>
          </w:r>
        </w:smartTag>
        <w:r>
          <w:t xml:space="preserve"> </w:t>
        </w:r>
        <w:smartTag w:uri="urn:schemas-microsoft-com:office:smarttags" w:element="PlaceType">
          <w:r>
            <w:t>Island</w:t>
          </w:r>
        </w:smartTag>
      </w:smartTag>
      <w:r>
        <w:t xml:space="preserve">) are grazed by cattle, and vegetation communities are expected to be affected by ongoing grazing pressures. </w:t>
      </w:r>
    </w:p>
    <w:p w:rsidR="000E4357" w:rsidRDefault="000E4357" w:rsidP="000E4357">
      <w:pPr>
        <w:pStyle w:val="Bullets"/>
        <w:numPr>
          <w:ilvl w:val="0"/>
          <w:numId w:val="0"/>
        </w:numPr>
        <w:ind w:left="851"/>
      </w:pPr>
      <w:r>
        <w:t>Recreational angling and commercial net fishing are also likely to represent key ongoing threats to fish stocks, although there are no available data to determine impacts. Bait digging for worms and callianassid shrimps (ghost nippers) also represents a locally important fishery, however the impacts on values and habitat resources due to collection activities are also unknown.</w:t>
      </w:r>
    </w:p>
    <w:p w:rsidR="000E4357" w:rsidRDefault="000E4357" w:rsidP="000E4357">
      <w:pPr>
        <w:pStyle w:val="Bullets"/>
        <w:numPr>
          <w:ilvl w:val="0"/>
          <w:numId w:val="0"/>
        </w:numPr>
        <w:ind w:left="851"/>
      </w:pPr>
      <w:r w:rsidRPr="008B0256">
        <w:t xml:space="preserve">O’Hara </w:t>
      </w:r>
      <w:r w:rsidRPr="00326DB1">
        <w:t>et al.</w:t>
      </w:r>
      <w:r>
        <w:t xml:space="preserve"> (2002) </w:t>
      </w:r>
      <w:r w:rsidRPr="008B0256">
        <w:t xml:space="preserve">suggests that fishing using weighted seine nets in </w:t>
      </w:r>
      <w:r w:rsidRPr="008372B4">
        <w:rPr>
          <w:i/>
        </w:rPr>
        <w:t>Posidonia</w:t>
      </w:r>
      <w:r w:rsidRPr="008B0256">
        <w:t xml:space="preserve"> beds </w:t>
      </w:r>
      <w:r>
        <w:t xml:space="preserve">at Corner Inlet </w:t>
      </w:r>
      <w:r w:rsidRPr="008B0256">
        <w:t>can also lead to damage to seagrass habitats</w:t>
      </w:r>
      <w:r>
        <w:t xml:space="preserve">. </w:t>
      </w:r>
      <w:r w:rsidRPr="008B0256">
        <w:t xml:space="preserve">At one site examined by O’Hara </w:t>
      </w:r>
      <w:r w:rsidRPr="00326DB1">
        <w:t>et al.</w:t>
      </w:r>
      <w:r>
        <w:t xml:space="preserve"> </w:t>
      </w:r>
      <w:r w:rsidRPr="008B0256">
        <w:t>(2002), the senescent ends of the seagrass leaves and associated epiphytes had apparently been thinned and/or removed by seining</w:t>
      </w:r>
      <w:r>
        <w:t xml:space="preserve">. </w:t>
      </w:r>
      <w:r w:rsidRPr="008B0256">
        <w:t xml:space="preserve">O’Hara </w:t>
      </w:r>
      <w:r w:rsidRPr="00326DB1">
        <w:t>et al.</w:t>
      </w:r>
      <w:r>
        <w:t xml:space="preserve"> </w:t>
      </w:r>
      <w:r w:rsidRPr="008B0256">
        <w:t>(2002) also found lower crab and gastropod abundances in areas sub</w:t>
      </w:r>
      <w:r>
        <w:t>ject to seining. O’Ha</w:t>
      </w:r>
      <w:r w:rsidRPr="008B0256">
        <w:t xml:space="preserve">ra </w:t>
      </w:r>
      <w:r w:rsidRPr="00326DB1">
        <w:t>et al.</w:t>
      </w:r>
      <w:r>
        <w:t xml:space="preserve"> </w:t>
      </w:r>
      <w:r w:rsidRPr="008B0256">
        <w:t xml:space="preserve">(2002) remarked that seining techniques in Corner Inlet have changed in comparatively recent times. For most of last century, wooden boats and hand-hauled nets restricted seining to the shallow banks. The introduction of powered boats and boat-drawn nets in </w:t>
      </w:r>
      <w:r>
        <w:t>the 1980’s opened up deeper (for example,</w:t>
      </w:r>
      <w:r w:rsidRPr="008B0256">
        <w:t xml:space="preserve"> </w:t>
      </w:r>
      <w:r w:rsidRPr="008372B4">
        <w:rPr>
          <w:i/>
        </w:rPr>
        <w:t>Posidonia</w:t>
      </w:r>
      <w:r w:rsidRPr="008B0256">
        <w:t>) seagrass beds and channels to seining operations</w:t>
      </w:r>
      <w:r>
        <w:t xml:space="preserve">. </w:t>
      </w:r>
    </w:p>
    <w:p w:rsidR="000E4357" w:rsidRDefault="000E4357" w:rsidP="000E4357">
      <w:pPr>
        <w:pStyle w:val="Bullets"/>
        <w:numPr>
          <w:ilvl w:val="0"/>
          <w:numId w:val="0"/>
        </w:numPr>
        <w:ind w:left="851"/>
      </w:pPr>
      <w:r>
        <w:t xml:space="preserve">Corner Inlet commercial fishers have developed an Environmental Management Plan (2004) which aims to manage some of the impacting processes associated with fishing activities. This includes, among other actions, measures to reduce seagrass damage including using specially designed nets that do not ‘rip’ the grass, not anchoring in beds, as well as not anchoring in seagrass meadows. The EMP recognises the role of land-based activities leading to damage and degradation of fisheries habitats, most notably increased pollutant loads and its effect on seagrass. </w:t>
      </w:r>
    </w:p>
    <w:p w:rsidR="000E4357" w:rsidRDefault="000E4357" w:rsidP="000E4357">
      <w:pPr>
        <w:pStyle w:val="Heading3"/>
        <w:ind w:left="851" w:hanging="851"/>
      </w:pPr>
      <w:bookmarkStart w:id="11" w:name="_Toc295374232"/>
      <w:r>
        <w:t>Modified Flow Regimes</w:t>
      </w:r>
      <w:bookmarkEnd w:id="11"/>
    </w:p>
    <w:p w:rsidR="000E4357" w:rsidRDefault="000E4357" w:rsidP="000E4357">
      <w:pPr>
        <w:pStyle w:val="Text"/>
      </w:pPr>
      <w:r w:rsidRPr="00EB0371">
        <w:t xml:space="preserve">The present Sustainable Diversion Limit (SDL) prevents diversions in summer, and allows winter diversions up to the river-specific SDL. In the absence of a more detailed, locally-specific investigation, the present SDL-based rules </w:t>
      </w:r>
      <w:r>
        <w:t xml:space="preserve">are </w:t>
      </w:r>
      <w:r w:rsidRPr="00EB0371">
        <w:t>the most appropriate limit of acceptable change for stream flows in Corner Inlet catchments</w:t>
      </w:r>
      <w:r>
        <w:t>. Adoption of these SDL-based rules should theoretically minimise the threat of water extraction on the ecological character of the site.</w:t>
      </w:r>
    </w:p>
    <w:p w:rsidR="000E4357" w:rsidRPr="009A0F70" w:rsidRDefault="000E4357" w:rsidP="000E4357">
      <w:pPr>
        <w:pStyle w:val="Text"/>
      </w:pPr>
      <w:r>
        <w:t>From a groundwater resource perspective, i</w:t>
      </w:r>
      <w:r w:rsidRPr="009A0F70">
        <w:t xml:space="preserve">nformation from the </w:t>
      </w:r>
      <w:r>
        <w:t>Australian</w:t>
      </w:r>
      <w:r w:rsidRPr="009A0F70">
        <w:t xml:space="preserve"> Natural Resources Atlas website indicates that the Seacombe GMA is currently overdeveloped, as total water consumption exceeds the sustainable yield by more than two-fold. Falling groundwater levels near Yarram (Latrobe Aquifer) have been of concern to farmers in recent times, especially during periods of drought (CSIRO 2005). Dewatering activities associated with the offshore extraction of oil and gas </w:t>
      </w:r>
      <w:r w:rsidRPr="009A0F70">
        <w:lastRenderedPageBreak/>
        <w:t xml:space="preserve">has been identified as </w:t>
      </w:r>
      <w:r>
        <w:t>an</w:t>
      </w:r>
      <w:r w:rsidRPr="009A0F70">
        <w:t xml:space="preserve"> underlying influence for the declining groundwater levels in the region (Hatton </w:t>
      </w:r>
      <w:r w:rsidRPr="00276823">
        <w:rPr>
          <w:i/>
        </w:rPr>
        <w:t>et al</w:t>
      </w:r>
      <w:r w:rsidRPr="009A0F70">
        <w:t xml:space="preserve">. 2004). </w:t>
      </w:r>
    </w:p>
    <w:p w:rsidR="000E4357" w:rsidRDefault="000E4357" w:rsidP="000E4357">
      <w:pPr>
        <w:pStyle w:val="Heading3"/>
        <w:ind w:left="851" w:hanging="851"/>
      </w:pPr>
      <w:bookmarkStart w:id="12" w:name="_Toc295374233"/>
      <w:r>
        <w:t xml:space="preserve">Pollutant </w:t>
      </w:r>
      <w:r w:rsidRPr="009A0F70">
        <w:t>Inputs</w:t>
      </w:r>
      <w:bookmarkEnd w:id="12"/>
    </w:p>
    <w:p w:rsidR="000E4357" w:rsidRPr="00D103BB" w:rsidRDefault="000E4357" w:rsidP="000E4357">
      <w:pPr>
        <w:pStyle w:val="Text"/>
        <w:rPr>
          <w:color w:val="000000"/>
        </w:rPr>
      </w:pPr>
      <w:r w:rsidRPr="00D103BB">
        <w:rPr>
          <w:color w:val="000000"/>
        </w:rPr>
        <w:t>The main threats to the Corner Inlet Ramsar wetlands in terms of water quality are increased inputs of sediments and nutrients (</w:t>
      </w:r>
      <w:r>
        <w:rPr>
          <w:color w:val="000000"/>
        </w:rPr>
        <w:t xml:space="preserve">Ecos unpublished; </w:t>
      </w:r>
      <w:r w:rsidRPr="00D103BB">
        <w:rPr>
          <w:color w:val="000000"/>
        </w:rPr>
        <w:t>BL&amp;A 2008</w:t>
      </w:r>
      <w:r>
        <w:rPr>
          <w:color w:val="000000"/>
        </w:rPr>
        <w:t>; CSIRO 2005; Water Technology 2008</w:t>
      </w:r>
      <w:r w:rsidRPr="00D103BB">
        <w:rPr>
          <w:color w:val="000000"/>
        </w:rPr>
        <w:t>)</w:t>
      </w:r>
      <w:r>
        <w:rPr>
          <w:color w:val="000000"/>
        </w:rPr>
        <w:t xml:space="preserve">. </w:t>
      </w:r>
      <w:r w:rsidRPr="00D103BB">
        <w:rPr>
          <w:color w:val="000000"/>
        </w:rPr>
        <w:t>Increased sediment loads lead to increased water column turbidity resulting in lower light levels reaching benthic microalgae living on the sediment surface and seagrass meadows. Although light requirements vary between individual seagrass species, the minimum light requirements are much higher for seagrasses (</w:t>
      </w:r>
      <w:r>
        <w:rPr>
          <w:color w:val="000000"/>
        </w:rPr>
        <w:t xml:space="preserve">two to </w:t>
      </w:r>
      <w:r w:rsidRPr="00D103BB">
        <w:rPr>
          <w:color w:val="000000"/>
        </w:rPr>
        <w:t>37</w:t>
      </w:r>
      <w:r>
        <w:rPr>
          <w:color w:val="000000"/>
        </w:rPr>
        <w:t xml:space="preserve"> per cent</w:t>
      </w:r>
      <w:r w:rsidRPr="00D103BB">
        <w:rPr>
          <w:color w:val="000000"/>
        </w:rPr>
        <w:t xml:space="preserve"> of surface irradiance) than for macroalgae and phytoplankton (</w:t>
      </w:r>
      <w:r>
        <w:rPr>
          <w:color w:val="000000"/>
        </w:rPr>
        <w:t>one to three per cent</w:t>
      </w:r>
      <w:r w:rsidRPr="00D103BB">
        <w:rPr>
          <w:color w:val="000000"/>
        </w:rPr>
        <w:t xml:space="preserve">) (Lee </w:t>
      </w:r>
      <w:r w:rsidRPr="00276823">
        <w:rPr>
          <w:i/>
          <w:color w:val="000000"/>
        </w:rPr>
        <w:t>et al</w:t>
      </w:r>
      <w:r w:rsidRPr="00D103BB">
        <w:rPr>
          <w:color w:val="000000"/>
        </w:rPr>
        <w:t>. 2007). Therefore, potential impacts associated with decreased light levels may be most detrimental to the seagrass in Corner Inlet</w:t>
      </w:r>
      <w:r>
        <w:rPr>
          <w:color w:val="000000"/>
        </w:rPr>
        <w:t xml:space="preserve">. </w:t>
      </w:r>
      <w:r w:rsidRPr="00D103BB">
        <w:rPr>
          <w:color w:val="000000"/>
        </w:rPr>
        <w:t xml:space="preserve">Because seagrasses are important for stabilising the sediment (O’Hara </w:t>
      </w:r>
      <w:r w:rsidRPr="00326DB1">
        <w:rPr>
          <w:color w:val="000000"/>
        </w:rPr>
        <w:t>et al.</w:t>
      </w:r>
      <w:r w:rsidRPr="004E1C0A">
        <w:rPr>
          <w:i/>
          <w:color w:val="000000"/>
        </w:rPr>
        <w:t xml:space="preserve"> </w:t>
      </w:r>
      <w:r w:rsidRPr="00D103BB">
        <w:rPr>
          <w:color w:val="000000"/>
        </w:rPr>
        <w:t>2002), a decrease in seagrass coverage in Corner Inlet may lead to a negative feedback loop leading to more sediment resuspension and, hence, higher turbidity</w:t>
      </w:r>
      <w:r>
        <w:rPr>
          <w:color w:val="000000"/>
        </w:rPr>
        <w:t xml:space="preserve">. </w:t>
      </w:r>
      <w:r w:rsidRPr="00D103BB">
        <w:rPr>
          <w:color w:val="000000"/>
        </w:rPr>
        <w:t>Furthermore, the important role of seagrass as a nutrient sink (Connell and Walker 2001) may be impaired by loss of seagrasses. Increased sediment loads may also affect distribution and vegetation patterns of mangroves and saltmarshes by providing new substrate or smothering of mangrove pneumatophores and herbaceous saltmarsh plants (</w:t>
      </w:r>
      <w:r>
        <w:rPr>
          <w:color w:val="000000"/>
        </w:rPr>
        <w:t>Ecos unpublished</w:t>
      </w:r>
      <w:r w:rsidRPr="00D103BB">
        <w:rPr>
          <w:color w:val="000000"/>
        </w:rPr>
        <w:t>).</w:t>
      </w:r>
    </w:p>
    <w:p w:rsidR="000E4357" w:rsidRPr="00D103BB" w:rsidRDefault="000E4357" w:rsidP="000E4357">
      <w:pPr>
        <w:pStyle w:val="Text"/>
        <w:rPr>
          <w:color w:val="000000"/>
        </w:rPr>
      </w:pPr>
      <w:r w:rsidRPr="00D103BB">
        <w:rPr>
          <w:color w:val="000000"/>
        </w:rPr>
        <w:t xml:space="preserve">The main </w:t>
      </w:r>
      <w:r>
        <w:rPr>
          <w:color w:val="000000"/>
        </w:rPr>
        <w:t>issues</w:t>
      </w:r>
      <w:r w:rsidRPr="00D103BB">
        <w:rPr>
          <w:color w:val="000000"/>
        </w:rPr>
        <w:t xml:space="preserve"> associated with increased nutrient input involve an increase in phytoplankton biomass, which may also include toxic blue-green algae such as </w:t>
      </w:r>
      <w:r w:rsidRPr="00D103BB">
        <w:rPr>
          <w:i/>
          <w:color w:val="000000"/>
        </w:rPr>
        <w:t>Nodularia spumigena</w:t>
      </w:r>
      <w:r w:rsidRPr="00D103BB">
        <w:rPr>
          <w:color w:val="000000"/>
        </w:rPr>
        <w:t xml:space="preserve">, as is frequently observed in </w:t>
      </w:r>
      <w:r>
        <w:rPr>
          <w:color w:val="000000"/>
        </w:rPr>
        <w:t>nearby</w:t>
      </w:r>
      <w:r w:rsidRPr="00D103BB">
        <w:rPr>
          <w:color w:val="000000"/>
        </w:rPr>
        <w:t xml:space="preserve"> Gippsland Lakes (Stephens </w:t>
      </w:r>
      <w:r w:rsidRPr="00276823">
        <w:rPr>
          <w:i/>
          <w:color w:val="000000"/>
        </w:rPr>
        <w:t>et al</w:t>
      </w:r>
      <w:r w:rsidRPr="00D103BB">
        <w:rPr>
          <w:color w:val="000000"/>
        </w:rPr>
        <w:t>. 2004)</w:t>
      </w:r>
      <w:r>
        <w:rPr>
          <w:color w:val="000000"/>
        </w:rPr>
        <w:t xml:space="preserve">. </w:t>
      </w:r>
      <w:r w:rsidRPr="00D103BB">
        <w:rPr>
          <w:color w:val="000000"/>
        </w:rPr>
        <w:t>The main impacts associated with increased nutrients may include (</w:t>
      </w:r>
      <w:r>
        <w:rPr>
          <w:color w:val="000000"/>
        </w:rPr>
        <w:t>Ecos unpublished</w:t>
      </w:r>
      <w:r w:rsidRPr="00D103BB">
        <w:rPr>
          <w:color w:val="000000"/>
        </w:rPr>
        <w:t>):</w:t>
      </w:r>
    </w:p>
    <w:p w:rsidR="000E4357" w:rsidRPr="00D103BB" w:rsidRDefault="000E4357" w:rsidP="000E4357">
      <w:pPr>
        <w:pStyle w:val="Bullets"/>
      </w:pPr>
      <w:r>
        <w:t>s</w:t>
      </w:r>
      <w:r w:rsidRPr="00D103BB">
        <w:t>hifts among periphyton, phytoplankton and macrophytes as dominant primary producers (</w:t>
      </w:r>
      <w:r>
        <w:t>that is</w:t>
      </w:r>
      <w:r w:rsidRPr="00D103BB">
        <w:t>,</w:t>
      </w:r>
      <w:r>
        <w:t xml:space="preserve"> switches across stable states)</w:t>
      </w:r>
    </w:p>
    <w:p w:rsidR="000E4357" w:rsidRPr="00D103BB" w:rsidRDefault="000E4357" w:rsidP="000E4357">
      <w:pPr>
        <w:pStyle w:val="Bullets"/>
      </w:pPr>
      <w:r>
        <w:t>s</w:t>
      </w:r>
      <w:r w:rsidRPr="00D103BB">
        <w:t>hifts in phytoplankton populations to domination by bloom-forming species that may be toxic or in</w:t>
      </w:r>
      <w:r>
        <w:t>edible by fish and zooplankton</w:t>
      </w:r>
    </w:p>
    <w:p w:rsidR="000E4357" w:rsidRPr="00D103BB" w:rsidRDefault="000E4357" w:rsidP="000E4357">
      <w:pPr>
        <w:pStyle w:val="Bullets"/>
      </w:pPr>
      <w:r>
        <w:t>d</w:t>
      </w:r>
      <w:r w:rsidRPr="00D103BB">
        <w:t>ecrease in seagrass coverage in favour of an increase in algal mats an</w:t>
      </w:r>
      <w:r>
        <w:t>d biomass of benthic macroalgae</w:t>
      </w:r>
    </w:p>
    <w:p w:rsidR="000E4357" w:rsidRPr="00D103BB" w:rsidRDefault="000E4357" w:rsidP="000E4357">
      <w:pPr>
        <w:pStyle w:val="Bullets"/>
      </w:pPr>
      <w:r>
        <w:t>i</w:t>
      </w:r>
      <w:r w:rsidRPr="00D103BB">
        <w:t>ncrease in epiphyte density on seagrasse</w:t>
      </w:r>
      <w:r>
        <w:t>s shading out the seagrass host</w:t>
      </w:r>
    </w:p>
    <w:p w:rsidR="000E4357" w:rsidRPr="00D103BB" w:rsidRDefault="000E4357" w:rsidP="000E4357">
      <w:pPr>
        <w:pStyle w:val="Bullets"/>
      </w:pPr>
      <w:r>
        <w:t>i</w:t>
      </w:r>
      <w:r w:rsidRPr="00D103BB">
        <w:t>ncreases in b</w:t>
      </w:r>
      <w:r>
        <w:t>looms of gelatinous zooplankton</w:t>
      </w:r>
    </w:p>
    <w:p w:rsidR="000E4357" w:rsidRPr="00D103BB" w:rsidRDefault="000E4357" w:rsidP="000E4357">
      <w:pPr>
        <w:pStyle w:val="Bullets"/>
      </w:pPr>
      <w:r>
        <w:t>c</w:t>
      </w:r>
      <w:r w:rsidRPr="00D103BB">
        <w:t xml:space="preserve">hanges in macrophyte </w:t>
      </w:r>
      <w:r>
        <w:t>species composition and biomass</w:t>
      </w:r>
    </w:p>
    <w:p w:rsidR="000E4357" w:rsidRPr="00D103BB" w:rsidRDefault="000E4357" w:rsidP="000E4357">
      <w:pPr>
        <w:pStyle w:val="Bullets"/>
      </w:pPr>
      <w:r>
        <w:t>d</w:t>
      </w:r>
      <w:r w:rsidRPr="00D103BB">
        <w:t>ecreases in water transparency and light availabili</w:t>
      </w:r>
      <w:r>
        <w:t>ty to benthic primary producers</w:t>
      </w:r>
    </w:p>
    <w:p w:rsidR="000E4357" w:rsidRPr="00D103BB" w:rsidRDefault="000E4357" w:rsidP="000E4357">
      <w:pPr>
        <w:pStyle w:val="Bullets"/>
      </w:pPr>
      <w:r>
        <w:t>i</w:t>
      </w:r>
      <w:r w:rsidRPr="00D103BB">
        <w:t>nc</w:t>
      </w:r>
      <w:r>
        <w:t>rease in taste and odour issues</w:t>
      </w:r>
    </w:p>
    <w:p w:rsidR="000E4357" w:rsidRPr="00D103BB" w:rsidRDefault="000E4357" w:rsidP="000E4357">
      <w:pPr>
        <w:pStyle w:val="Bullets"/>
      </w:pPr>
      <w:r>
        <w:t>i</w:t>
      </w:r>
      <w:r w:rsidRPr="00D103BB">
        <w:t>n</w:t>
      </w:r>
      <w:r>
        <w:t>creased incidence of fish kills</w:t>
      </w:r>
    </w:p>
    <w:p w:rsidR="000E4357" w:rsidRPr="00D103BB" w:rsidRDefault="000E4357" w:rsidP="000E4357">
      <w:pPr>
        <w:pStyle w:val="Bullets"/>
      </w:pPr>
      <w:r>
        <w:t>c</w:t>
      </w:r>
      <w:r w:rsidRPr="00D103BB">
        <w:t>hanges in fish populations to taxa more tol</w:t>
      </w:r>
      <w:r>
        <w:t>erant of poor water quality</w:t>
      </w:r>
    </w:p>
    <w:p w:rsidR="000E4357" w:rsidRPr="00D103BB" w:rsidRDefault="000E4357" w:rsidP="000E4357">
      <w:pPr>
        <w:pStyle w:val="Bullets"/>
      </w:pPr>
      <w:r>
        <w:t>r</w:t>
      </w:r>
      <w:r w:rsidRPr="00D103BB">
        <w:t>eductions in amount or quality of ha</w:t>
      </w:r>
      <w:r>
        <w:t>rvestable fish or shellfish</w:t>
      </w:r>
    </w:p>
    <w:p w:rsidR="000E4357" w:rsidRPr="00D103BB" w:rsidRDefault="000E4357" w:rsidP="000E4357">
      <w:pPr>
        <w:pStyle w:val="Bullets"/>
      </w:pPr>
      <w:r>
        <w:t>d</w:t>
      </w:r>
      <w:r w:rsidRPr="00D103BB">
        <w:t>ecreased aesthetic and amenity values</w:t>
      </w:r>
      <w:r>
        <w:t>.</w:t>
      </w:r>
    </w:p>
    <w:p w:rsidR="000E4357" w:rsidRPr="00D103BB" w:rsidRDefault="000E4357" w:rsidP="000E4357">
      <w:pPr>
        <w:pStyle w:val="Text"/>
        <w:rPr>
          <w:color w:val="000000"/>
        </w:rPr>
      </w:pPr>
      <w:r w:rsidRPr="00D103BB">
        <w:rPr>
          <w:color w:val="000000"/>
        </w:rPr>
        <w:lastRenderedPageBreak/>
        <w:t xml:space="preserve">An </w:t>
      </w:r>
      <w:r>
        <w:rPr>
          <w:color w:val="000000"/>
        </w:rPr>
        <w:t xml:space="preserve">increase in nutrients could result in </w:t>
      </w:r>
      <w:r w:rsidRPr="00D103BB">
        <w:rPr>
          <w:color w:val="000000"/>
        </w:rPr>
        <w:t xml:space="preserve">excessive growth of </w:t>
      </w:r>
      <w:r>
        <w:rPr>
          <w:color w:val="000000"/>
        </w:rPr>
        <w:t>algae, leading to potentially deleterious changes including</w:t>
      </w:r>
      <w:r w:rsidRPr="00D103BB">
        <w:rPr>
          <w:color w:val="000000"/>
        </w:rPr>
        <w:t xml:space="preserve"> outcompeting</w:t>
      </w:r>
      <w:r>
        <w:rPr>
          <w:color w:val="000000"/>
        </w:rPr>
        <w:t xml:space="preserve"> of</w:t>
      </w:r>
      <w:r w:rsidRPr="00D103BB">
        <w:rPr>
          <w:color w:val="000000"/>
        </w:rPr>
        <w:t xml:space="preserve"> seagrasses, </w:t>
      </w:r>
      <w:r>
        <w:rPr>
          <w:color w:val="000000"/>
        </w:rPr>
        <w:t>changes to</w:t>
      </w:r>
      <w:r w:rsidRPr="00D103BB">
        <w:rPr>
          <w:color w:val="000000"/>
        </w:rPr>
        <w:t xml:space="preserve"> physico-chemical sediment </w:t>
      </w:r>
      <w:r>
        <w:rPr>
          <w:color w:val="000000"/>
        </w:rPr>
        <w:t>processes</w:t>
      </w:r>
      <w:r w:rsidRPr="00D103BB">
        <w:rPr>
          <w:color w:val="000000"/>
        </w:rPr>
        <w:t xml:space="preserve"> and a reduction in the abundance of benthic infauna that act as prey for fishes and birds (Raffaelli </w:t>
      </w:r>
      <w:r w:rsidRPr="00276823">
        <w:rPr>
          <w:i/>
          <w:color w:val="000000"/>
        </w:rPr>
        <w:t>et al</w:t>
      </w:r>
      <w:r w:rsidRPr="00D103BB">
        <w:rPr>
          <w:color w:val="000000"/>
        </w:rPr>
        <w:t>. 1998).</w:t>
      </w:r>
    </w:p>
    <w:p w:rsidR="000E4357" w:rsidRPr="00D103BB" w:rsidRDefault="000E4357" w:rsidP="000E4357">
      <w:pPr>
        <w:pStyle w:val="Text"/>
        <w:rPr>
          <w:color w:val="000000"/>
        </w:rPr>
      </w:pPr>
      <w:r w:rsidRPr="00D103BB">
        <w:rPr>
          <w:color w:val="000000"/>
        </w:rPr>
        <w:t xml:space="preserve">Corner Inlet </w:t>
      </w:r>
      <w:r>
        <w:rPr>
          <w:color w:val="000000"/>
        </w:rPr>
        <w:t xml:space="preserve">(including </w:t>
      </w:r>
      <w:r w:rsidRPr="00D103BB">
        <w:rPr>
          <w:color w:val="000000"/>
        </w:rPr>
        <w:t>the Nooramunga area</w:t>
      </w:r>
      <w:r>
        <w:rPr>
          <w:color w:val="000000"/>
        </w:rPr>
        <w:t>)</w:t>
      </w:r>
      <w:r w:rsidRPr="00D103BB">
        <w:rPr>
          <w:color w:val="000000"/>
        </w:rPr>
        <w:t xml:space="preserve"> receive</w:t>
      </w:r>
      <w:r>
        <w:rPr>
          <w:color w:val="000000"/>
        </w:rPr>
        <w:t>s</w:t>
      </w:r>
      <w:r w:rsidRPr="00D103BB">
        <w:rPr>
          <w:color w:val="000000"/>
        </w:rPr>
        <w:t xml:space="preserve"> input of nutrients and sediments from several major streams (</w:t>
      </w:r>
      <w:smartTag w:uri="urn:schemas-microsoft-com:office:smarttags" w:element="City">
        <w:r w:rsidRPr="00D103BB">
          <w:rPr>
            <w:color w:val="000000"/>
          </w:rPr>
          <w:t>Franklin</w:t>
        </w:r>
      </w:smartTag>
      <w:r w:rsidRPr="00D103BB">
        <w:rPr>
          <w:color w:val="000000"/>
        </w:rPr>
        <w:t xml:space="preserve">, Agnes, Albert and </w:t>
      </w:r>
      <w:smartTag w:uri="urn:schemas-microsoft-com:office:smarttags" w:element="place">
        <w:smartTag w:uri="urn:schemas-microsoft-com:office:smarttags" w:element="PlaceName">
          <w:r w:rsidRPr="00D103BB">
            <w:rPr>
              <w:color w:val="000000"/>
            </w:rPr>
            <w:t>Tarra</w:t>
          </w:r>
        </w:smartTag>
        <w:r w:rsidRPr="00D103BB">
          <w:rPr>
            <w:color w:val="000000"/>
          </w:rPr>
          <w:t xml:space="preserve"> </w:t>
        </w:r>
        <w:smartTag w:uri="urn:schemas-microsoft-com:office:smarttags" w:element="PlaceType">
          <w:r w:rsidRPr="00D103BB">
            <w:rPr>
              <w:color w:val="000000"/>
            </w:rPr>
            <w:t>Rivers</w:t>
          </w:r>
        </w:smartTag>
      </w:smartTag>
      <w:r w:rsidRPr="00D103BB">
        <w:rPr>
          <w:color w:val="000000"/>
        </w:rPr>
        <w:t>, Deep and Stockyard Creeks) and numerous smaller streams</w:t>
      </w:r>
      <w:r>
        <w:rPr>
          <w:color w:val="000000"/>
        </w:rPr>
        <w:t xml:space="preserve">. </w:t>
      </w:r>
      <w:r w:rsidRPr="00D103BB">
        <w:rPr>
          <w:color w:val="000000"/>
        </w:rPr>
        <w:t xml:space="preserve">Furthermore, three wastewater treatment plants discharge into Corner Inlet (South Gippsland Water 2002) as well as about 30 stormwater and agricultural drains (Parks Victoria 2005). Raw sewage may be discharged into Corner Inlet from septic systems in Port Welshpool during flooding periods and from boats not equipped with suitable toilets (Parks Victoria 2005). Another potential input of nutrients to Corner Inlet is the discharge of nutrient rich groundwater (Hindell </w:t>
      </w:r>
      <w:r w:rsidRPr="00276823">
        <w:rPr>
          <w:i/>
          <w:color w:val="000000"/>
        </w:rPr>
        <w:t>et al</w:t>
      </w:r>
      <w:r w:rsidRPr="00D103BB">
        <w:rPr>
          <w:color w:val="000000"/>
        </w:rPr>
        <w:t>. 2007).</w:t>
      </w:r>
    </w:p>
    <w:p w:rsidR="000E4357" w:rsidRDefault="000E4357" w:rsidP="000E4357">
      <w:pPr>
        <w:pStyle w:val="Text"/>
        <w:rPr>
          <w:color w:val="000000"/>
        </w:rPr>
      </w:pPr>
      <w:r w:rsidRPr="00D103BB">
        <w:rPr>
          <w:color w:val="000000"/>
        </w:rPr>
        <w:t xml:space="preserve">Since catchment loads are mainly controlled by the prevailing hydrologic conditions, loads </w:t>
      </w:r>
      <w:r>
        <w:rPr>
          <w:color w:val="000000"/>
        </w:rPr>
        <w:t>are</w:t>
      </w:r>
      <w:r w:rsidRPr="00D103BB">
        <w:rPr>
          <w:color w:val="000000"/>
        </w:rPr>
        <w:t xml:space="preserve"> generally higher during wet</w:t>
      </w:r>
      <w:r>
        <w:rPr>
          <w:color w:val="000000"/>
        </w:rPr>
        <w:t>ter periods than drier periods (Water Technology 2008)</w:t>
      </w:r>
      <w:r w:rsidRPr="00D103BB">
        <w:rPr>
          <w:color w:val="000000"/>
        </w:rPr>
        <w:t>.</w:t>
      </w:r>
      <w:r>
        <w:rPr>
          <w:color w:val="000000"/>
        </w:rPr>
        <w:t xml:space="preserve"> Catchment and receiving water modelling indicates that dryland agriculture contributes the greatest nutrient loads to Corner Inlet due to the extensive area of this land use in the catchment (Water Technology 2008)</w:t>
      </w:r>
      <w:r w:rsidRPr="00D103BB">
        <w:rPr>
          <w:color w:val="000000"/>
        </w:rPr>
        <w:t>.</w:t>
      </w:r>
      <w:r>
        <w:rPr>
          <w:color w:val="000000"/>
        </w:rPr>
        <w:t xml:space="preserve"> Production forests produced the highest sediment and high oxidised nitrogen loads, despite covering a small area of the catchment (22 per cent of the total catchment). Discharges from sewage treatment plants produced high loads of nutrients (particularly phosphorus), but represented a relatively contribution of total pollutant loads to Corner Inlet. </w:t>
      </w:r>
    </w:p>
    <w:p w:rsidR="000E4357" w:rsidRDefault="000E4357" w:rsidP="000E4357">
      <w:pPr>
        <w:pStyle w:val="Text"/>
      </w:pPr>
      <w:r>
        <w:t xml:space="preserve">It is important to note that while pollutant loads from the catchment are relatively high, the extensive tidal channel network promotes tidal exchange and flushing within the inlet (see Section </w:t>
      </w:r>
      <w:r w:rsidR="00092695">
        <w:fldChar w:fldCharType="begin"/>
      </w:r>
      <w:r>
        <w:instrText xml:space="preserve"> REF _Ref280169179 \r \h </w:instrText>
      </w:r>
      <w:r w:rsidR="00092695">
        <w:fldChar w:fldCharType="separate"/>
      </w:r>
      <w:r>
        <w:t>3.6.2</w:t>
      </w:r>
      <w:r w:rsidR="00092695">
        <w:fldChar w:fldCharType="end"/>
      </w:r>
      <w:r>
        <w:t xml:space="preserve">). This tidal flushing regime reduces the risk of broad-scale water quality degradation, although as discussed previously, some areas within north and western Corner Inlet appear to be under water quality stress. In particular, die-off of </w:t>
      </w:r>
      <w:r w:rsidRPr="0053724F">
        <w:rPr>
          <w:i/>
        </w:rPr>
        <w:t>Posidonia</w:t>
      </w:r>
      <w:r>
        <w:t xml:space="preserve"> and possibly the occurrence of blooms of filamentous algae “slub” are consistent with the effects of nutrient enrichment (CSIRO 2005), which has also been reported to occur prior to site listing (</w:t>
      </w:r>
      <w:r w:rsidRPr="009A0F70">
        <w:t xml:space="preserve">Roob </w:t>
      </w:r>
      <w:r w:rsidRPr="00276823">
        <w:rPr>
          <w:i/>
        </w:rPr>
        <w:t>et al</w:t>
      </w:r>
      <w:r w:rsidRPr="009A0F70">
        <w:t>. 1998</w:t>
      </w:r>
      <w:r>
        <w:t xml:space="preserve">). Modelling by Water Technology (2008) confirms that under current conditions, the western streams, Foster WWTP, Franklin River, Angnes River and Albert River were producing loads significant enough to influence nearby seagrass beds. </w:t>
      </w:r>
    </w:p>
    <w:p w:rsidR="000E4357" w:rsidRDefault="000E4357" w:rsidP="000E4357">
      <w:pPr>
        <w:pStyle w:val="Heading3"/>
        <w:ind w:left="851" w:hanging="851"/>
      </w:pPr>
      <w:bookmarkStart w:id="13" w:name="_Ref235610710"/>
      <w:bookmarkStart w:id="14" w:name="_Toc295374234"/>
      <w:r w:rsidRPr="009A0F70">
        <w:t>Urban Encroachment</w:t>
      </w:r>
      <w:r>
        <w:t xml:space="preserve"> and Habitat Modification</w:t>
      </w:r>
      <w:bookmarkEnd w:id="13"/>
      <w:bookmarkEnd w:id="14"/>
    </w:p>
    <w:p w:rsidR="000E4357" w:rsidRDefault="000E4357" w:rsidP="000E4357">
      <w:pPr>
        <w:pStyle w:val="Text"/>
      </w:pPr>
      <w:r>
        <w:t xml:space="preserve">There is limited urban development within the site, although the land use change and future development could affect the character of the site. Direct impacts of future urban development include direct vegetation destruction, altered hydraulic regimes due to dredging, reclamation or seawall construction, and habitat fragmentation and associated loss of ecological functions.  </w:t>
      </w:r>
    </w:p>
    <w:p w:rsidR="000E4357" w:rsidRDefault="000E4357" w:rsidP="000E4357">
      <w:pPr>
        <w:pStyle w:val="Text"/>
      </w:pPr>
      <w:r w:rsidRPr="002A1BDE">
        <w:t>Ecos (unpublished</w:t>
      </w:r>
      <w:r>
        <w:t>)</w:t>
      </w:r>
      <w:r w:rsidRPr="002A1BDE">
        <w:t xml:space="preserve"> suggests that developments such as canal estates, proposed for places such as Port Albert and Port Welshpool, as well as intensification of urban development currently being experienced in these towns and Foster, Manns Beach, Roberstons Beach and McLoughlins Beach, could result in direct loss of vegetation and habitat value. Furthermore, future developments could in</w:t>
      </w:r>
      <w:r>
        <w:t>crease pollutant loads associat</w:t>
      </w:r>
      <w:r w:rsidRPr="002A1BDE">
        <w:t xml:space="preserve">ed with increased stormwater runoff and increased sewage effluent releases. </w:t>
      </w:r>
    </w:p>
    <w:p w:rsidR="000E4357" w:rsidRPr="002A1BDE" w:rsidRDefault="000E4357" w:rsidP="000E4357">
      <w:pPr>
        <w:pStyle w:val="Text"/>
      </w:pPr>
      <w:r>
        <w:lastRenderedPageBreak/>
        <w:t xml:space="preserve">Seawalls represent a key agent leading to fragmentation and isolation of littoral habitats from adjacent marine waters (Carey </w:t>
      </w:r>
      <w:r w:rsidRPr="00326DB1">
        <w:t>et al.</w:t>
      </w:r>
      <w:r w:rsidRPr="00905630">
        <w:rPr>
          <w:i/>
        </w:rPr>
        <w:t xml:space="preserve"> </w:t>
      </w:r>
      <w:r>
        <w:t>2007). While habitat isolation due to the presence of existing seawalls are thought to represent an existing threat to breeding success of gummy shark (</w:t>
      </w:r>
      <w:r w:rsidRPr="00DD6C28">
        <w:rPr>
          <w:i/>
        </w:rPr>
        <w:t>Galeorhinus galeus</w:t>
      </w:r>
      <w:r>
        <w:t>) and green-back flounder (</w:t>
      </w:r>
      <w:r w:rsidRPr="00B55CF0">
        <w:rPr>
          <w:i/>
        </w:rPr>
        <w:t>Rhombosolea tapirina</w:t>
      </w:r>
      <w:r>
        <w:t xml:space="preserve">), it is thought that the threat level has stabilised in time, and that tighter planning controls would reduce the likelihood of new seawalls being constructed (Carey </w:t>
      </w:r>
      <w:r w:rsidRPr="00326DB1">
        <w:t>et al.</w:t>
      </w:r>
      <w:r>
        <w:t xml:space="preserve"> 2007). There have also been proposals for removing seawalls, which would reduce the threat level.  </w:t>
      </w:r>
    </w:p>
    <w:p w:rsidR="000E4357" w:rsidRPr="00330F0E" w:rsidRDefault="000E4357" w:rsidP="000E4357">
      <w:pPr>
        <w:pStyle w:val="Heading3"/>
        <w:ind w:left="851" w:hanging="851"/>
      </w:pPr>
      <w:bookmarkStart w:id="15" w:name="_Toc295374235"/>
      <w:r>
        <w:t>A</w:t>
      </w:r>
      <w:r w:rsidRPr="00330F0E">
        <w:t xml:space="preserve">cid </w:t>
      </w:r>
      <w:r>
        <w:t>Sulf</w:t>
      </w:r>
      <w:r w:rsidRPr="00330F0E">
        <w:t>ate Soils</w:t>
      </w:r>
      <w:bookmarkEnd w:id="15"/>
    </w:p>
    <w:p w:rsidR="000E4357" w:rsidRPr="00330F0E" w:rsidRDefault="000E4357" w:rsidP="000E4357">
      <w:pPr>
        <w:pStyle w:val="Text"/>
      </w:pPr>
      <w:r w:rsidRPr="00330F0E">
        <w:t xml:space="preserve">Corner Inlet </w:t>
      </w:r>
      <w:r>
        <w:t>contains</w:t>
      </w:r>
      <w:r w:rsidRPr="00330F0E">
        <w:t xml:space="preserve"> soil types classified as acid sulfate prone</w:t>
      </w:r>
      <w:r>
        <w:t xml:space="preserve">, most notably </w:t>
      </w:r>
      <w:r w:rsidRPr="00330F0E">
        <w:t>tidal flats and recent marine sediments</w:t>
      </w:r>
      <w:r>
        <w:t xml:space="preserve"> (CSIRO 2005). </w:t>
      </w:r>
      <w:r w:rsidRPr="00330F0E">
        <w:t xml:space="preserve">Examples include soils around Black Swamp Yanakie, Old Hat Road Foster, Toora foreshore and Port Albert. </w:t>
      </w:r>
    </w:p>
    <w:p w:rsidR="000E4357" w:rsidRPr="00330F0E" w:rsidRDefault="000E4357" w:rsidP="000E4357">
      <w:pPr>
        <w:pStyle w:val="Text"/>
      </w:pPr>
      <w:r w:rsidRPr="00330F0E">
        <w:t>Acid sulfate soils</w:t>
      </w:r>
      <w:r>
        <w:t>, which were</w:t>
      </w:r>
      <w:r w:rsidRPr="00330F0E">
        <w:t xml:space="preserve"> initially formed under marine conditions</w:t>
      </w:r>
      <w:r>
        <w:t xml:space="preserve">, </w:t>
      </w:r>
      <w:r w:rsidRPr="00330F0E">
        <w:t>contain iron sulfide layers</w:t>
      </w:r>
      <w:r>
        <w:t xml:space="preserve"> that when disturbed, may be oxidised resulting in the formation of </w:t>
      </w:r>
      <w:r w:rsidRPr="00330F0E">
        <w:t>sulfuric acid</w:t>
      </w:r>
      <w:r>
        <w:t xml:space="preserve">. </w:t>
      </w:r>
      <w:r w:rsidRPr="00330F0E">
        <w:t xml:space="preserve">The mobilisation of sulphuric acid </w:t>
      </w:r>
      <w:r>
        <w:t>can have a range of adverse environmental impacts including (CSIRO 2005):</w:t>
      </w:r>
    </w:p>
    <w:p w:rsidR="000E4357" w:rsidRPr="00330F0E" w:rsidRDefault="000E4357" w:rsidP="000E4357">
      <w:pPr>
        <w:pStyle w:val="Bullets"/>
      </w:pPr>
      <w:r>
        <w:t>acidic</w:t>
      </w:r>
      <w:r w:rsidRPr="00330F0E">
        <w:t xml:space="preserve"> run-off reduces the water q</w:t>
      </w:r>
      <w:r>
        <w:t>uality in surrounding waterways</w:t>
      </w:r>
    </w:p>
    <w:p w:rsidR="000E4357" w:rsidRPr="00330F0E" w:rsidRDefault="000E4357" w:rsidP="000E4357">
      <w:pPr>
        <w:pStyle w:val="Bullets"/>
      </w:pPr>
      <w:r>
        <w:t>t</w:t>
      </w:r>
      <w:r w:rsidRPr="00330F0E">
        <w:t>oxicity to fish, crus</w:t>
      </w:r>
      <w:r>
        <w:t>taceans and other water species</w:t>
      </w:r>
    </w:p>
    <w:p w:rsidR="000E4357" w:rsidRPr="00330F0E" w:rsidRDefault="000E4357" w:rsidP="000E4357">
      <w:pPr>
        <w:pStyle w:val="Bullets"/>
      </w:pPr>
      <w:r>
        <w:t>r</w:t>
      </w:r>
      <w:r w:rsidRPr="00330F0E">
        <w:t>eduction in biodi</w:t>
      </w:r>
      <w:r>
        <w:t>versity of surrounding wetlands</w:t>
      </w:r>
    </w:p>
    <w:p w:rsidR="000E4357" w:rsidRPr="00330F0E" w:rsidRDefault="000E4357" w:rsidP="000E4357">
      <w:pPr>
        <w:pStyle w:val="Bullets"/>
      </w:pPr>
      <w:r>
        <w:t>c</w:t>
      </w:r>
      <w:r w:rsidRPr="00330F0E">
        <w:t>orrosion of bui</w:t>
      </w:r>
      <w:r>
        <w:t>ldings and other infrastructure</w:t>
      </w:r>
    </w:p>
    <w:p w:rsidR="000E4357" w:rsidRPr="00330F0E" w:rsidRDefault="000E4357" w:rsidP="000E4357">
      <w:pPr>
        <w:pStyle w:val="Bullets"/>
      </w:pPr>
      <w:r>
        <w:t>r</w:t>
      </w:r>
      <w:r w:rsidRPr="00330F0E">
        <w:t>educed agricultural productivity.</w:t>
      </w:r>
    </w:p>
    <w:p w:rsidR="000E4357" w:rsidRPr="00330F0E" w:rsidRDefault="000E4357" w:rsidP="000E4357">
      <w:pPr>
        <w:pStyle w:val="Text"/>
      </w:pPr>
      <w:r w:rsidRPr="00330F0E">
        <w:t>Activities likely to disturb the iron sulfide layer include excavations for urban development, construction of foreshore facilities, and drainage of coastal swamps</w:t>
      </w:r>
      <w:r>
        <w:t xml:space="preserve">. CSIRO (2005) did not identify any reports of significant </w:t>
      </w:r>
      <w:r w:rsidRPr="00330F0E">
        <w:t xml:space="preserve">acidic runoff </w:t>
      </w:r>
      <w:r>
        <w:t xml:space="preserve">within and adjacent to Corner Inlet, although it was noted that occasional low pH levels may be a consequence of acid sulfate soils. </w:t>
      </w:r>
    </w:p>
    <w:p w:rsidR="000E4357" w:rsidRDefault="000E4357" w:rsidP="000E4357">
      <w:pPr>
        <w:pStyle w:val="Heading3"/>
        <w:ind w:left="851" w:hanging="851"/>
      </w:pPr>
      <w:bookmarkStart w:id="16" w:name="_Toc295374236"/>
      <w:r w:rsidRPr="009A0F70">
        <w:t>Oil Spills and Other Incidents</w:t>
      </w:r>
      <w:bookmarkEnd w:id="16"/>
    </w:p>
    <w:p w:rsidR="000E4357" w:rsidRPr="00302B40" w:rsidRDefault="000E4357" w:rsidP="000E4357">
      <w:pPr>
        <w:pStyle w:val="Text"/>
      </w:pPr>
      <w:r w:rsidRPr="00302B40">
        <w:t>Parks Victoria (2005) noted that there was potential for “devastating effects” of oil spills on the ecological, s</w:t>
      </w:r>
      <w:r>
        <w:t>ocial and economic values of</w:t>
      </w:r>
      <w:r w:rsidRPr="00302B40">
        <w:t xml:space="preserve"> Corner Inlet</w:t>
      </w:r>
      <w:r>
        <w:t xml:space="preserve">. </w:t>
      </w:r>
      <w:r w:rsidRPr="00302B40">
        <w:t>Proposals to develop industrial estates, port facilities and marinas at locations such as Barry Beach, Port Welshpool and Port Albert are likely to increase the risk of spills of oils or other toxicants (</w:t>
      </w:r>
      <w:r>
        <w:t>Ecos unpublished</w:t>
      </w:r>
      <w:r w:rsidRPr="00302B40">
        <w:t xml:space="preserve">). </w:t>
      </w:r>
    </w:p>
    <w:p w:rsidR="000E4357" w:rsidRDefault="000E4357" w:rsidP="000E4357">
      <w:pPr>
        <w:pStyle w:val="Heading3"/>
        <w:ind w:left="851" w:hanging="851"/>
      </w:pPr>
      <w:bookmarkStart w:id="17" w:name="_Ref260390990"/>
      <w:bookmarkStart w:id="18" w:name="_Toc295374237"/>
      <w:r w:rsidRPr="009A0F70">
        <w:t>Climate Change</w:t>
      </w:r>
      <w:bookmarkEnd w:id="17"/>
      <w:bookmarkEnd w:id="18"/>
    </w:p>
    <w:p w:rsidR="000E4357" w:rsidRDefault="000E4357" w:rsidP="000E4357">
      <w:pPr>
        <w:pStyle w:val="Text"/>
      </w:pPr>
      <w:r w:rsidRPr="00091714">
        <w:t>As outlined in GC</w:t>
      </w:r>
      <w:r>
        <w:t xml:space="preserve">B (2006), a sea level rise of seven to 55 centimetres </w:t>
      </w:r>
      <w:r w:rsidRPr="00091714">
        <w:t>is predicted across Western</w:t>
      </w:r>
      <w:r>
        <w:t xml:space="preserve"> P</w:t>
      </w:r>
      <w:r w:rsidRPr="00091714">
        <w:t xml:space="preserve">ort, </w:t>
      </w:r>
      <w:r>
        <w:t xml:space="preserve">as well as </w:t>
      </w:r>
      <w:r w:rsidRPr="00091714">
        <w:t>Western and Eastern coastal regions of Gippsland (0.8 to</w:t>
      </w:r>
      <w:r>
        <w:t xml:space="preserve"> 8.0 centimetres per </w:t>
      </w:r>
      <w:r w:rsidRPr="00091714">
        <w:t>decade) by 2070</w:t>
      </w:r>
      <w:r>
        <w:t xml:space="preserve">. </w:t>
      </w:r>
      <w:r w:rsidRPr="00091714">
        <w:t>The Gippsland coast</w:t>
      </w:r>
      <w:r>
        <w:t>al</w:t>
      </w:r>
      <w:r w:rsidRPr="00091714">
        <w:t xml:space="preserve"> </w:t>
      </w:r>
      <w:r>
        <w:t xml:space="preserve">dune systems are </w:t>
      </w:r>
      <w:r w:rsidRPr="00091714">
        <w:t>erosio</w:t>
      </w:r>
      <w:r>
        <w:t>n prone, and a number of climate change processes could lead to further erosion including</w:t>
      </w:r>
      <w:r w:rsidRPr="00091714">
        <w:t xml:space="preserve"> increases </w:t>
      </w:r>
      <w:r>
        <w:t>in</w:t>
      </w:r>
      <w:r w:rsidRPr="00091714">
        <w:t xml:space="preserve"> sea level, more severe storm surges and high wave actions</w:t>
      </w:r>
      <w:r>
        <w:t xml:space="preserve">. </w:t>
      </w:r>
    </w:p>
    <w:p w:rsidR="000E4357" w:rsidRPr="00513446" w:rsidRDefault="000E4357" w:rsidP="000E4357">
      <w:pPr>
        <w:pStyle w:val="Text"/>
      </w:pPr>
      <w:r>
        <w:t xml:space="preserve">There are two main considerations with respect to identifying potential impacts of sea level rise on </w:t>
      </w:r>
      <w:r w:rsidRPr="00513446">
        <w:t>Corner Inlet Ramsar site:</w:t>
      </w:r>
    </w:p>
    <w:p w:rsidR="000E4357" w:rsidRPr="00513446" w:rsidRDefault="000E4357" w:rsidP="000E4357">
      <w:pPr>
        <w:pStyle w:val="Bullets"/>
      </w:pPr>
      <w:r>
        <w:lastRenderedPageBreak/>
        <w:t>i</w:t>
      </w:r>
      <w:r w:rsidRPr="00513446">
        <w:t>ncreased erosion</w:t>
      </w:r>
      <w:r>
        <w:t xml:space="preserve">. </w:t>
      </w:r>
      <w:r w:rsidRPr="00513446">
        <w:t xml:space="preserve">Sea level rise </w:t>
      </w:r>
      <w:r>
        <w:t>could lead to</w:t>
      </w:r>
      <w:r w:rsidRPr="00513446">
        <w:t xml:space="preserve"> coastal retreat where sandy beaches are present</w:t>
      </w:r>
      <w:r>
        <w:t xml:space="preserve">. </w:t>
      </w:r>
      <w:r w:rsidRPr="00513446">
        <w:t>Retreat magnitudes vary according to the local beach profile</w:t>
      </w:r>
      <w:r>
        <w:t>,</w:t>
      </w:r>
      <w:r w:rsidRPr="00513446">
        <w:t xml:space="preserve"> which is typically in the range 1:50 to 1:100</w:t>
      </w:r>
      <w:r>
        <w:t xml:space="preserve">. </w:t>
      </w:r>
      <w:r w:rsidRPr="00513446">
        <w:t xml:space="preserve">Consequently, a retreat of between 25 </w:t>
      </w:r>
      <w:r>
        <w:t>to</w:t>
      </w:r>
      <w:r w:rsidRPr="00513446">
        <w:t xml:space="preserve"> 50 m</w:t>
      </w:r>
      <w:r>
        <w:t>etres</w:t>
      </w:r>
      <w:r w:rsidRPr="00513446">
        <w:t xml:space="preserve"> would be expected were sea levels to rise by 0.5 m</w:t>
      </w:r>
      <w:r>
        <w:t xml:space="preserve">etres. </w:t>
      </w:r>
      <w:r w:rsidRPr="00513446">
        <w:t>Such a retreat could impact on the size of some islands in the No</w:t>
      </w:r>
      <w:r>
        <w:t>oramunga precinct in particular</w:t>
      </w:r>
    </w:p>
    <w:p w:rsidR="000E4357" w:rsidRDefault="000E4357" w:rsidP="000E4357">
      <w:pPr>
        <w:pStyle w:val="Bullets"/>
      </w:pPr>
      <w:r>
        <w:t>c</w:t>
      </w:r>
      <w:r w:rsidRPr="00513446">
        <w:t>hanges in distribution and extent of habitats due to altered water levels</w:t>
      </w:r>
      <w:r>
        <w:t xml:space="preserve">. A long-term change in sea level is likely to </w:t>
      </w:r>
      <w:r w:rsidRPr="00513446">
        <w:t>lead to migration in the positions of the various intertidal vegetation communities as well as in the positions of individual species within each community</w:t>
      </w:r>
      <w:r>
        <w:t xml:space="preserve">. </w:t>
      </w:r>
      <w:r w:rsidRPr="00513446">
        <w:t>A consequence of landward migration of mangroves and saltmarshes in response to sea level rise is “coastal squeeze”</w:t>
      </w:r>
      <w:r>
        <w:t>. In Corner Inlet this may result in the</w:t>
      </w:r>
      <w:r w:rsidRPr="00513446">
        <w:t xml:space="preserve"> loss of mangrove and saltmarsh vegetation arising from the restriction of landward movement and long term survivability caused by levee banks, seawalls, embankments, public infrastructure such as roads and steeper topographical slopes and gradients (</w:t>
      </w:r>
      <w:r>
        <w:t>Ecos unpublished)</w:t>
      </w:r>
    </w:p>
    <w:p w:rsidR="000E4357" w:rsidRPr="00513446" w:rsidRDefault="000E4357" w:rsidP="000E4357">
      <w:pPr>
        <w:pStyle w:val="Bullets"/>
      </w:pPr>
      <w:r>
        <w:t>impacts to coastal habitats and communities associated with an increase in frequency of storm surges. Changes to the frequency of storm surge events could affect the rate at which coastal habitats and species recover from disturbance, and possibly the distribution and extent of habitats and structure of coastal flora and fauna communities.</w:t>
      </w:r>
    </w:p>
    <w:p w:rsidR="000E4357" w:rsidRPr="00091714" w:rsidRDefault="000E4357" w:rsidP="000E4357">
      <w:pPr>
        <w:pStyle w:val="Text"/>
      </w:pPr>
      <w:r w:rsidRPr="00091714">
        <w:t>While attention to date in terms of climate change in the region has focussed on sea level rise and coastal inundation, other potential climate change impacts are also relevant for the Ramsar site</w:t>
      </w:r>
      <w:r>
        <w:t xml:space="preserve">. </w:t>
      </w:r>
      <w:r w:rsidRPr="00091714">
        <w:t xml:space="preserve">Particular issues include: </w:t>
      </w:r>
    </w:p>
    <w:p w:rsidR="000E4357" w:rsidRDefault="000E4357" w:rsidP="000E4357">
      <w:pPr>
        <w:pStyle w:val="Bullets"/>
      </w:pPr>
      <w:r>
        <w:t>i</w:t>
      </w:r>
      <w:r w:rsidRPr="00091714">
        <w:t xml:space="preserve">ncreased extreme rainfall events associated with climate change given the dominant contribution to extreme water levels and water chemistry is due </w:t>
      </w:r>
      <w:r>
        <w:t>to elevated stream flow</w:t>
      </w:r>
    </w:p>
    <w:p w:rsidR="000E4357" w:rsidRPr="00091714" w:rsidRDefault="000E4357" w:rsidP="000E4357">
      <w:pPr>
        <w:pStyle w:val="Bullets"/>
      </w:pPr>
      <w:r>
        <w:t>lower freshwater inputs</w:t>
      </w:r>
    </w:p>
    <w:p w:rsidR="000E4357" w:rsidRPr="00091714" w:rsidRDefault="000E4357" w:rsidP="000E4357">
      <w:pPr>
        <w:pStyle w:val="Bullets"/>
      </w:pPr>
      <w:r>
        <w:t>i</w:t>
      </w:r>
      <w:r w:rsidRPr="00091714">
        <w:t>ncreased drought and higher temperature between major rainfall events leading to increased evaporation</w:t>
      </w:r>
      <w:r>
        <w:t>,</w:t>
      </w:r>
      <w:r w:rsidRPr="00091714">
        <w:t xml:space="preserve"> which could expose and oxidise acid sulphate soils and exacerbate salinity in t</w:t>
      </w:r>
      <w:r>
        <w:t>he shallow marsh environments.</w:t>
      </w:r>
    </w:p>
    <w:p w:rsidR="000E4357" w:rsidRDefault="000E4357" w:rsidP="000E4357">
      <w:pPr>
        <w:pStyle w:val="Bullets"/>
        <w:numPr>
          <w:ilvl w:val="0"/>
          <w:numId w:val="0"/>
        </w:numPr>
        <w:ind w:left="851"/>
      </w:pPr>
      <w:r w:rsidRPr="00091714">
        <w:t>The extent and magnitude of these threats can only be qualitatively described as part of the current study but are significant issues that could affect future ecological values and usage of the site by wetland flora and fauna.</w:t>
      </w:r>
    </w:p>
    <w:p w:rsidR="000E4357" w:rsidRPr="009A0F70" w:rsidRDefault="000E4357" w:rsidP="000E4357">
      <w:pPr>
        <w:pStyle w:val="Heading3"/>
        <w:ind w:left="851" w:hanging="851"/>
      </w:pPr>
      <w:bookmarkStart w:id="19" w:name="_Toc295374238"/>
      <w:r w:rsidRPr="009A0F70">
        <w:t>Weeds</w:t>
      </w:r>
      <w:bookmarkEnd w:id="19"/>
    </w:p>
    <w:p w:rsidR="000E4357" w:rsidRPr="00513446" w:rsidRDefault="000E4357" w:rsidP="000E4357">
      <w:pPr>
        <w:pStyle w:val="Text"/>
      </w:pPr>
      <w:r w:rsidRPr="00513446">
        <w:t>Weeds have the potential to cause a number of adverse ecological impacts, including displacement of native flora species and reduced habitat suitability for fauna species</w:t>
      </w:r>
      <w:r>
        <w:t xml:space="preserve">. </w:t>
      </w:r>
      <w:r w:rsidRPr="00513446">
        <w:t>A total of 93 introduced plant species are known to occur within the Ramsar site, many of which pose a serious threat to the site (DSE 200</w:t>
      </w:r>
      <w:r>
        <w:t>3</w:t>
      </w:r>
      <w:r w:rsidRPr="00513446">
        <w:t>)</w:t>
      </w:r>
      <w:r>
        <w:t xml:space="preserve">. </w:t>
      </w:r>
    </w:p>
    <w:p w:rsidR="000E4357" w:rsidRPr="00513446" w:rsidRDefault="000E4357" w:rsidP="000E4357">
      <w:pPr>
        <w:pStyle w:val="Text"/>
      </w:pPr>
      <w:r w:rsidRPr="00513446">
        <w:t xml:space="preserve">The most notable weed threatening the Ramsar site is </w:t>
      </w:r>
      <w:r>
        <w:t>s</w:t>
      </w:r>
      <w:r w:rsidRPr="00513446">
        <w:t>partina (</w:t>
      </w:r>
      <w:r>
        <w:t>Ecos unpublished</w:t>
      </w:r>
      <w:r w:rsidRPr="00513446">
        <w:t>)</w:t>
      </w:r>
      <w:r>
        <w:t xml:space="preserve">. </w:t>
      </w:r>
      <w:r w:rsidRPr="00513446">
        <w:t xml:space="preserve">The common name </w:t>
      </w:r>
      <w:r>
        <w:t>s</w:t>
      </w:r>
      <w:r w:rsidRPr="00513446">
        <w:t xml:space="preserve">partina refers to </w:t>
      </w:r>
      <w:r w:rsidRPr="00513446">
        <w:rPr>
          <w:i/>
        </w:rPr>
        <w:t>Spartina angelica</w:t>
      </w:r>
      <w:r w:rsidRPr="00513446">
        <w:t xml:space="preserve"> as well as the hybrid </w:t>
      </w:r>
      <w:r w:rsidRPr="00513446">
        <w:rPr>
          <w:i/>
        </w:rPr>
        <w:t>Spartina</w:t>
      </w:r>
      <w:r w:rsidRPr="00513446">
        <w:t xml:space="preserve"> x </w:t>
      </w:r>
      <w:r w:rsidRPr="00513446">
        <w:rPr>
          <w:i/>
        </w:rPr>
        <w:t>townsendii</w:t>
      </w:r>
      <w:r w:rsidRPr="00513446">
        <w:t>, which are declared noxious pests under Victorian legislation</w:t>
      </w:r>
      <w:r>
        <w:t xml:space="preserve">. </w:t>
      </w:r>
      <w:r w:rsidRPr="00513446">
        <w:t>Spartina is a perennial aquatic grass that invades mudflats and sandy shores on sheltered coastal bays and estuaries (Blood 2001)</w:t>
      </w:r>
      <w:r>
        <w:t xml:space="preserve">. </w:t>
      </w:r>
      <w:r w:rsidRPr="00513446">
        <w:t>Spartina is reported to have been widespread in the Ramsar site, but a control program has been successful in reducing infestations (Parks Victoria 2005)</w:t>
      </w:r>
      <w:r>
        <w:t xml:space="preserve">. </w:t>
      </w:r>
      <w:r w:rsidRPr="00513446">
        <w:t xml:space="preserve">Continued management of </w:t>
      </w:r>
      <w:r>
        <w:t>s</w:t>
      </w:r>
      <w:r w:rsidRPr="00513446">
        <w:t xml:space="preserve">partina is essential due to the threats it places on wetland ecosystems, including prevention of mangrove germination, </w:t>
      </w:r>
      <w:r w:rsidRPr="00513446">
        <w:lastRenderedPageBreak/>
        <w:t>reduced availability of mudflats for waterbird feeding and changes to mangrove tidal inundation regimes (either waterlogging or prevention of inundation, dependent on the scenario).</w:t>
      </w:r>
    </w:p>
    <w:p w:rsidR="000E4357" w:rsidRPr="009A0F70" w:rsidRDefault="000E4357" w:rsidP="000E4357">
      <w:pPr>
        <w:pStyle w:val="Text"/>
        <w:rPr>
          <w:highlight w:val="yellow"/>
        </w:rPr>
      </w:pPr>
      <w:r w:rsidRPr="00513446">
        <w:rPr>
          <w:rFonts w:cs="Arial"/>
        </w:rPr>
        <w:t xml:space="preserve">Intertidal feeding habitat degradation resulting from the spread of </w:t>
      </w:r>
      <w:r>
        <w:rPr>
          <w:rFonts w:cs="Arial"/>
        </w:rPr>
        <w:t>s</w:t>
      </w:r>
      <w:r w:rsidRPr="00513446">
        <w:rPr>
          <w:rFonts w:cs="Arial"/>
        </w:rPr>
        <w:t>p</w:t>
      </w:r>
      <w:r w:rsidRPr="009A0F70">
        <w:rPr>
          <w:rFonts w:cs="Arial"/>
        </w:rPr>
        <w:t>artina is considered to be a significant threat to waterbirds, especially shorebirds</w:t>
      </w:r>
      <w:r>
        <w:rPr>
          <w:rFonts w:cs="Arial"/>
        </w:rPr>
        <w:t xml:space="preserve">. </w:t>
      </w:r>
      <w:r w:rsidRPr="009A0F70">
        <w:rPr>
          <w:rFonts w:cs="Arial"/>
        </w:rPr>
        <w:t>Spartina can form dense swards and can increase sedimentation rates which in turn can negatively affect the growth of mangroves and saltmarshes and the availability of intertidal areas as foraging habitat for waterbirds</w:t>
      </w:r>
      <w:r>
        <w:rPr>
          <w:rFonts w:cs="Arial"/>
        </w:rPr>
        <w:t xml:space="preserve">. This is </w:t>
      </w:r>
      <w:r w:rsidRPr="009A0F70">
        <w:rPr>
          <w:rFonts w:cs="Arial"/>
        </w:rPr>
        <w:t>particularly relevant to migratory shorebirds of the site</w:t>
      </w:r>
      <w:r>
        <w:rPr>
          <w:rFonts w:cs="Arial"/>
        </w:rPr>
        <w:t xml:space="preserve"> as it can lead to the</w:t>
      </w:r>
      <w:r w:rsidRPr="009A0F70">
        <w:rPr>
          <w:rFonts w:cs="Arial"/>
        </w:rPr>
        <w:t xml:space="preserve"> loss of foraging habitat </w:t>
      </w:r>
      <w:r>
        <w:rPr>
          <w:rFonts w:cs="Arial"/>
        </w:rPr>
        <w:t>because</w:t>
      </w:r>
      <w:r w:rsidRPr="009A0F70">
        <w:rPr>
          <w:rFonts w:cs="Arial"/>
        </w:rPr>
        <w:t xml:space="preserve"> birds are unable to access prey when spartina</w:t>
      </w:r>
      <w:r w:rsidRPr="009A0F70">
        <w:rPr>
          <w:rFonts w:cs="Arial"/>
          <w:i/>
        </w:rPr>
        <w:t xml:space="preserve"> </w:t>
      </w:r>
      <w:r w:rsidRPr="009A0F70">
        <w:rPr>
          <w:rFonts w:cs="Arial"/>
        </w:rPr>
        <w:t xml:space="preserve">becomes thick on mudflats (see Melville 1997 and </w:t>
      </w:r>
      <w:r>
        <w:rPr>
          <w:rFonts w:cs="Arial"/>
        </w:rPr>
        <w:t>Stralberg</w:t>
      </w:r>
      <w:r w:rsidRPr="009A0F70">
        <w:rPr>
          <w:rFonts w:cs="Arial"/>
        </w:rPr>
        <w:t xml:space="preserve"> </w:t>
      </w:r>
      <w:r w:rsidRPr="00326DB1">
        <w:rPr>
          <w:rFonts w:cs="Arial"/>
        </w:rPr>
        <w:t>et al.</w:t>
      </w:r>
      <w:r w:rsidRPr="009A0F70">
        <w:rPr>
          <w:rFonts w:cs="Arial"/>
        </w:rPr>
        <w:t xml:space="preserve"> 2004)</w:t>
      </w:r>
      <w:r>
        <w:rPr>
          <w:rFonts w:cs="Arial"/>
        </w:rPr>
        <w:t xml:space="preserve">. </w:t>
      </w:r>
      <w:r w:rsidRPr="009A0F70">
        <w:rPr>
          <w:rFonts w:cs="Arial"/>
        </w:rPr>
        <w:t xml:space="preserve">Clemens </w:t>
      </w:r>
      <w:r w:rsidRPr="00326DB1">
        <w:rPr>
          <w:rFonts w:cs="Arial"/>
        </w:rPr>
        <w:t>et al.</w:t>
      </w:r>
      <w:r w:rsidRPr="009A0F70">
        <w:rPr>
          <w:rFonts w:cs="Arial"/>
        </w:rPr>
        <w:t xml:space="preserve"> (2007) notes that </w:t>
      </w:r>
      <w:r w:rsidRPr="009A0F70">
        <w:t xml:space="preserve">Franklin Island was historically used on average by high numbers of shorebirds before a </w:t>
      </w:r>
      <w:r>
        <w:t>s</w:t>
      </w:r>
      <w:r w:rsidRPr="00E328ED">
        <w:t>partina</w:t>
      </w:r>
      <w:r w:rsidRPr="009A0F70">
        <w:rPr>
          <w:i/>
        </w:rPr>
        <w:t xml:space="preserve"> </w:t>
      </w:r>
      <w:r w:rsidRPr="009A0F70">
        <w:t>invasion appeared to make the area unsuitable</w:t>
      </w:r>
      <w:r>
        <w:t xml:space="preserve">. </w:t>
      </w:r>
      <w:r w:rsidRPr="009A0F70">
        <w:t xml:space="preserve">Interestingly, shorebirds did not return to Franklin Island after </w:t>
      </w:r>
      <w:r>
        <w:t>s</w:t>
      </w:r>
      <w:r w:rsidRPr="00E328ED">
        <w:t>partina</w:t>
      </w:r>
      <w:r w:rsidRPr="009A0F70">
        <w:rPr>
          <w:i/>
        </w:rPr>
        <w:t xml:space="preserve"> </w:t>
      </w:r>
      <w:r w:rsidRPr="009A0F70">
        <w:t>was controlled.</w:t>
      </w:r>
    </w:p>
    <w:p w:rsidR="000E4357" w:rsidRPr="009A0F70" w:rsidRDefault="000E4357" w:rsidP="000E4357">
      <w:pPr>
        <w:pStyle w:val="Text"/>
      </w:pPr>
      <w:r w:rsidRPr="00513446">
        <w:t xml:space="preserve">Sea </w:t>
      </w:r>
      <w:r>
        <w:t>s</w:t>
      </w:r>
      <w:r w:rsidRPr="00513446">
        <w:t xml:space="preserve">purge </w:t>
      </w:r>
      <w:r>
        <w:t>(</w:t>
      </w:r>
      <w:r w:rsidRPr="00513446">
        <w:rPr>
          <w:i/>
        </w:rPr>
        <w:t>Euphorbia paralias</w:t>
      </w:r>
      <w:r>
        <w:rPr>
          <w:i/>
        </w:rPr>
        <w:t>)</w:t>
      </w:r>
      <w:r w:rsidRPr="00513446">
        <w:t xml:space="preserve"> is another notable threat within the Ramsar site</w:t>
      </w:r>
      <w:r>
        <w:t xml:space="preserve">. </w:t>
      </w:r>
      <w:r w:rsidRPr="00513446">
        <w:t>This species invades coastal areas and has the potential to alter dune morphology (Belbin 1999)</w:t>
      </w:r>
      <w:r>
        <w:t xml:space="preserve">. </w:t>
      </w:r>
      <w:r w:rsidRPr="00513446">
        <w:t xml:space="preserve">It is known to occur on a number of islands and beaches within Corner Inlet, where it has the potential to result in breeding failure of </w:t>
      </w:r>
      <w:r>
        <w:t>H</w:t>
      </w:r>
      <w:r w:rsidRPr="00513446">
        <w:t xml:space="preserve">ooded </w:t>
      </w:r>
      <w:r>
        <w:t>P</w:t>
      </w:r>
      <w:r w:rsidRPr="00513446">
        <w:t>lover due to forcing this bird species to nest in the storm tide zones (DSE 200</w:t>
      </w:r>
      <w:r>
        <w:t>3</w:t>
      </w:r>
      <w:r w:rsidRPr="00513446">
        <w:t>)</w:t>
      </w:r>
      <w:r>
        <w:t xml:space="preserve">. </w:t>
      </w:r>
    </w:p>
    <w:p w:rsidR="000E4357" w:rsidRPr="009A0F70" w:rsidRDefault="000E4357" w:rsidP="000E4357">
      <w:pPr>
        <w:pStyle w:val="Text"/>
      </w:pPr>
      <w:r w:rsidRPr="009A0F70">
        <w:t xml:space="preserve">The green macroalga </w:t>
      </w:r>
      <w:r w:rsidRPr="009A0F70">
        <w:rPr>
          <w:i/>
        </w:rPr>
        <w:t>Codium fragile</w:t>
      </w:r>
      <w:r w:rsidRPr="009A0F70">
        <w:t xml:space="preserve"> ssp </w:t>
      </w:r>
      <w:r w:rsidRPr="009A0F70">
        <w:rPr>
          <w:i/>
        </w:rPr>
        <w:t>tomentosoides</w:t>
      </w:r>
      <w:r w:rsidRPr="009A0F70">
        <w:t xml:space="preserve"> is another weed species of concern</w:t>
      </w:r>
      <w:r>
        <w:t xml:space="preserve">. </w:t>
      </w:r>
      <w:r w:rsidRPr="009A0F70">
        <w:t>This species was first discovered in Corner Inlet in March 1995 (Trowbridge 1999)</w:t>
      </w:r>
      <w:r>
        <w:t xml:space="preserve">. </w:t>
      </w:r>
      <w:r w:rsidRPr="005951DD">
        <w:rPr>
          <w:i/>
        </w:rPr>
        <w:t xml:space="preserve">Codium fragile </w:t>
      </w:r>
      <w:r w:rsidRPr="00E328ED">
        <w:t>ssp</w:t>
      </w:r>
      <w:r w:rsidRPr="005951DD">
        <w:rPr>
          <w:i/>
        </w:rPr>
        <w:t xml:space="preserve"> tomentosoides</w:t>
      </w:r>
      <w:r w:rsidRPr="009A0F70">
        <w:t xml:space="preserve"> was introduced to south-east </w:t>
      </w:r>
      <w:smartTag w:uri="urn:schemas-microsoft-com:office:smarttags" w:element="country-region">
        <w:r w:rsidRPr="009A0F70">
          <w:t>Australia</w:t>
        </w:r>
      </w:smartTag>
      <w:r w:rsidRPr="009A0F70">
        <w:t xml:space="preserve"> in the mid 1990s, presumably via </w:t>
      </w:r>
      <w:smartTag w:uri="urn:schemas-microsoft-com:office:smarttags" w:element="place">
        <w:smartTag w:uri="urn:schemas-microsoft-com:office:smarttags" w:element="country-region">
          <w:r w:rsidRPr="009A0F70">
            <w:t>New Zealand</w:t>
          </w:r>
        </w:smartTag>
      </w:smartTag>
      <w:r w:rsidRPr="009A0F70">
        <w:t xml:space="preserve"> (</w:t>
      </w:r>
      <w:r>
        <w:t>Ecos unpublished</w:t>
      </w:r>
      <w:r w:rsidRPr="009A0F70">
        <w:t>)</w:t>
      </w:r>
      <w:r>
        <w:t>. Ecos (unpublished)</w:t>
      </w:r>
      <w:r w:rsidRPr="009A0F70">
        <w:t xml:space="preserve"> suggests that it is </w:t>
      </w:r>
      <w:r w:rsidRPr="00C93E86">
        <w:rPr>
          <w:i/>
        </w:rPr>
        <w:t xml:space="preserve">“…a pest of cultivated shellfish beds and a serious ecological and economic pest on the north-west Atlantic coast as well as along the shores of southern England and western Ireland”. </w:t>
      </w:r>
    </w:p>
    <w:p w:rsidR="000E4357" w:rsidRPr="009A0F70" w:rsidRDefault="000E4357" w:rsidP="000E4357">
      <w:pPr>
        <w:pStyle w:val="Text"/>
      </w:pPr>
      <w:r w:rsidRPr="009A0F70">
        <w:rPr>
          <w:i/>
        </w:rPr>
        <w:t>Codium fragile</w:t>
      </w:r>
      <w:r w:rsidRPr="009A0F70">
        <w:t xml:space="preserve"> ssp</w:t>
      </w:r>
      <w:r>
        <w:t>.</w:t>
      </w:r>
      <w:r w:rsidRPr="009A0F70">
        <w:t xml:space="preserve"> </w:t>
      </w:r>
      <w:r w:rsidRPr="009A0F70">
        <w:rPr>
          <w:i/>
        </w:rPr>
        <w:t>tomentosoides</w:t>
      </w:r>
      <w:r w:rsidRPr="009A0F70">
        <w:t xml:space="preserve"> has reportedly formed dense populations in Corner Inlet and other locations in Victoria</w:t>
      </w:r>
      <w:r>
        <w:t xml:space="preserve">. </w:t>
      </w:r>
      <w:r w:rsidRPr="009A0F70">
        <w:t>It is possible that this species could out</w:t>
      </w:r>
      <w:r>
        <w:t>-</w:t>
      </w:r>
      <w:r w:rsidRPr="009A0F70">
        <w:t>compete native marine plants for space and nutrients</w:t>
      </w:r>
      <w:r>
        <w:t xml:space="preserve">. </w:t>
      </w:r>
      <w:r w:rsidRPr="009A0F70">
        <w:t xml:space="preserve">On the basis of its known temperature and salinity tolerances, Trowbridge (1999) predicted that </w:t>
      </w:r>
      <w:r w:rsidRPr="009A0F70">
        <w:rPr>
          <w:i/>
        </w:rPr>
        <w:t>Codium fragile</w:t>
      </w:r>
      <w:r w:rsidRPr="009A0F70">
        <w:t xml:space="preserve"> ssp</w:t>
      </w:r>
      <w:r>
        <w:t>.</w:t>
      </w:r>
      <w:r w:rsidRPr="009A0F70">
        <w:t xml:space="preserve"> </w:t>
      </w:r>
      <w:r w:rsidRPr="009A0F70">
        <w:rPr>
          <w:i/>
        </w:rPr>
        <w:t>tomentosoides</w:t>
      </w:r>
      <w:r w:rsidRPr="009A0F70">
        <w:t xml:space="preserve"> had the potential to spread to wave-protected bays, lagoons and estuaries from </w:t>
      </w:r>
      <w:smartTag w:uri="urn:schemas-microsoft-com:office:smarttags" w:element="State">
        <w:r w:rsidRPr="009A0F70">
          <w:t>New South Wales</w:t>
        </w:r>
      </w:smartTag>
      <w:r w:rsidRPr="009A0F70">
        <w:t xml:space="preserve"> to </w:t>
      </w:r>
      <w:smartTag w:uri="urn:schemas-microsoft-com:office:smarttags" w:element="place">
        <w:smartTag w:uri="urn:schemas-microsoft-com:office:smarttags" w:element="State">
          <w:r w:rsidRPr="009A0F70">
            <w:t>Western Australia</w:t>
          </w:r>
        </w:smartTag>
      </w:smartTag>
      <w:r w:rsidRPr="009A0F70">
        <w:t>.</w:t>
      </w:r>
    </w:p>
    <w:p w:rsidR="000E4357" w:rsidRPr="009A0F70" w:rsidRDefault="000E4357" w:rsidP="000E4357">
      <w:pPr>
        <w:pStyle w:val="Heading3"/>
        <w:ind w:left="851" w:hanging="851"/>
      </w:pPr>
      <w:bookmarkStart w:id="20" w:name="_Toc231113030"/>
      <w:bookmarkStart w:id="21" w:name="_Toc295374239"/>
      <w:r w:rsidRPr="009A0F70">
        <w:t>Feral Pests</w:t>
      </w:r>
      <w:bookmarkEnd w:id="20"/>
      <w:bookmarkEnd w:id="21"/>
    </w:p>
    <w:p w:rsidR="000E4357" w:rsidRPr="009A0F70" w:rsidRDefault="000E4357" w:rsidP="000E4357">
      <w:pPr>
        <w:pStyle w:val="Text"/>
        <w:rPr>
          <w:rFonts w:cs="Arial"/>
          <w:b/>
        </w:rPr>
      </w:pPr>
      <w:r w:rsidRPr="009A0F70">
        <w:rPr>
          <w:rFonts w:cs="Arial"/>
          <w:b/>
        </w:rPr>
        <w:t>Terrestrial</w:t>
      </w:r>
    </w:p>
    <w:p w:rsidR="000E4357" w:rsidRPr="009A0F70" w:rsidRDefault="000E4357" w:rsidP="000E4357">
      <w:pPr>
        <w:pStyle w:val="Text"/>
        <w:rPr>
          <w:rFonts w:cs="Arial"/>
        </w:rPr>
      </w:pPr>
      <w:r w:rsidRPr="009A0F70">
        <w:rPr>
          <w:rFonts w:cs="Arial"/>
        </w:rPr>
        <w:t>A variety of introduced fauna species are known to occur within the site (Martindale 1982; DSE 2003</w:t>
      </w:r>
      <w:r>
        <w:rPr>
          <w:rFonts w:cs="Arial"/>
        </w:rPr>
        <w:t>; Ecos unpublished). These include b</w:t>
      </w:r>
      <w:r w:rsidRPr="009A0F70">
        <w:rPr>
          <w:rFonts w:cs="Arial"/>
        </w:rPr>
        <w:t xml:space="preserve">lack </w:t>
      </w:r>
      <w:r>
        <w:rPr>
          <w:rFonts w:cs="Arial"/>
        </w:rPr>
        <w:t>r</w:t>
      </w:r>
      <w:r w:rsidRPr="009A0F70">
        <w:rPr>
          <w:rFonts w:cs="Arial"/>
        </w:rPr>
        <w:t xml:space="preserve">at </w:t>
      </w:r>
      <w:r>
        <w:rPr>
          <w:rFonts w:cs="Arial"/>
        </w:rPr>
        <w:t>(</w:t>
      </w:r>
      <w:r w:rsidRPr="009A0F70">
        <w:rPr>
          <w:rFonts w:cs="Arial"/>
          <w:i/>
        </w:rPr>
        <w:t>Rattus rattus</w:t>
      </w:r>
      <w:r>
        <w:rPr>
          <w:rFonts w:cs="Arial"/>
        </w:rPr>
        <w:t>)</w:t>
      </w:r>
      <w:r w:rsidRPr="009A0F70">
        <w:rPr>
          <w:rFonts w:cs="Arial"/>
        </w:rPr>
        <w:t xml:space="preserve">, </w:t>
      </w:r>
      <w:r>
        <w:rPr>
          <w:rFonts w:cs="Arial"/>
        </w:rPr>
        <w:t>h</w:t>
      </w:r>
      <w:r w:rsidRPr="009A0F70">
        <w:rPr>
          <w:rFonts w:cs="Arial"/>
        </w:rPr>
        <w:t xml:space="preserve">ouse </w:t>
      </w:r>
      <w:r>
        <w:rPr>
          <w:rFonts w:cs="Arial"/>
        </w:rPr>
        <w:t>m</w:t>
      </w:r>
      <w:r w:rsidRPr="009A0F70">
        <w:rPr>
          <w:rFonts w:cs="Arial"/>
        </w:rPr>
        <w:t xml:space="preserve">ouse </w:t>
      </w:r>
      <w:r>
        <w:rPr>
          <w:rFonts w:cs="Arial"/>
        </w:rPr>
        <w:t>(</w:t>
      </w:r>
      <w:r w:rsidRPr="009A0F70">
        <w:rPr>
          <w:rFonts w:cs="Arial"/>
          <w:i/>
        </w:rPr>
        <w:t>Mus musculus</w:t>
      </w:r>
      <w:r>
        <w:rPr>
          <w:rFonts w:cs="Arial"/>
        </w:rPr>
        <w:t>), c</w:t>
      </w:r>
      <w:r w:rsidRPr="009A0F70">
        <w:rPr>
          <w:rFonts w:cs="Arial"/>
        </w:rPr>
        <w:t xml:space="preserve">ommon </w:t>
      </w:r>
      <w:r>
        <w:rPr>
          <w:rFonts w:cs="Arial"/>
        </w:rPr>
        <w:t>s</w:t>
      </w:r>
      <w:r w:rsidRPr="009A0F70">
        <w:rPr>
          <w:rFonts w:cs="Arial"/>
        </w:rPr>
        <w:t xml:space="preserve">tarling </w:t>
      </w:r>
      <w:r>
        <w:rPr>
          <w:rFonts w:cs="Arial"/>
        </w:rPr>
        <w:t>(</w:t>
      </w:r>
      <w:r w:rsidRPr="009A0F70">
        <w:rPr>
          <w:rFonts w:cs="Arial"/>
          <w:i/>
        </w:rPr>
        <w:t>Sturnus vulgaris</w:t>
      </w:r>
      <w:r>
        <w:rPr>
          <w:rFonts w:cs="Arial"/>
        </w:rPr>
        <w:t>), house s</w:t>
      </w:r>
      <w:r w:rsidRPr="009A0F70">
        <w:rPr>
          <w:rFonts w:cs="Arial"/>
        </w:rPr>
        <w:t xml:space="preserve">parrow </w:t>
      </w:r>
      <w:r>
        <w:rPr>
          <w:rFonts w:cs="Arial"/>
        </w:rPr>
        <w:t>(</w:t>
      </w:r>
      <w:r w:rsidRPr="009A0F70">
        <w:rPr>
          <w:rFonts w:cs="Arial"/>
          <w:i/>
        </w:rPr>
        <w:t>Passer domesticus</w:t>
      </w:r>
      <w:r>
        <w:rPr>
          <w:rFonts w:cs="Arial"/>
        </w:rPr>
        <w:t>)</w:t>
      </w:r>
      <w:r w:rsidRPr="009A0F70">
        <w:rPr>
          <w:rFonts w:cs="Arial"/>
        </w:rPr>
        <w:t xml:space="preserve">, </w:t>
      </w:r>
      <w:r>
        <w:rPr>
          <w:rFonts w:cs="Arial"/>
        </w:rPr>
        <w:t>c</w:t>
      </w:r>
      <w:r w:rsidRPr="009A0F70">
        <w:rPr>
          <w:rFonts w:cs="Arial"/>
        </w:rPr>
        <w:t xml:space="preserve">ommon </w:t>
      </w:r>
      <w:r>
        <w:rPr>
          <w:rFonts w:cs="Arial"/>
        </w:rPr>
        <w:t>b</w:t>
      </w:r>
      <w:r w:rsidRPr="009A0F70">
        <w:rPr>
          <w:rFonts w:cs="Arial"/>
        </w:rPr>
        <w:t xml:space="preserve">lackbird </w:t>
      </w:r>
      <w:r>
        <w:rPr>
          <w:rFonts w:cs="Arial"/>
        </w:rPr>
        <w:t>(</w:t>
      </w:r>
      <w:r w:rsidRPr="009A0F70">
        <w:rPr>
          <w:rFonts w:cs="Arial"/>
          <w:i/>
        </w:rPr>
        <w:t>Turdus merula</w:t>
      </w:r>
      <w:r>
        <w:rPr>
          <w:rFonts w:cs="Arial"/>
        </w:rPr>
        <w:t>)</w:t>
      </w:r>
      <w:r w:rsidRPr="009A0F70">
        <w:rPr>
          <w:rFonts w:cs="Arial"/>
        </w:rPr>
        <w:t xml:space="preserve">, </w:t>
      </w:r>
      <w:r>
        <w:rPr>
          <w:rFonts w:cs="Arial"/>
        </w:rPr>
        <w:t>r</w:t>
      </w:r>
      <w:r w:rsidRPr="009A0F70">
        <w:rPr>
          <w:rFonts w:cs="Arial"/>
        </w:rPr>
        <w:t>abbit</w:t>
      </w:r>
      <w:r w:rsidRPr="009A0F70">
        <w:rPr>
          <w:rFonts w:cs="Arial"/>
          <w:i/>
        </w:rPr>
        <w:t xml:space="preserve"> </w:t>
      </w:r>
      <w:r>
        <w:rPr>
          <w:rFonts w:cs="Arial"/>
        </w:rPr>
        <w:t>(</w:t>
      </w:r>
      <w:r w:rsidRPr="009A0F70">
        <w:rPr>
          <w:rFonts w:cs="Arial"/>
          <w:i/>
        </w:rPr>
        <w:t>Oryctolagus cuniculus</w:t>
      </w:r>
      <w:r>
        <w:rPr>
          <w:rFonts w:cs="Arial"/>
        </w:rPr>
        <w:t>)</w:t>
      </w:r>
      <w:r w:rsidRPr="009A0F70">
        <w:rPr>
          <w:rFonts w:cs="Arial"/>
        </w:rPr>
        <w:t xml:space="preserve">, </w:t>
      </w:r>
      <w:r>
        <w:rPr>
          <w:rFonts w:cs="Arial"/>
        </w:rPr>
        <w:t>r</w:t>
      </w:r>
      <w:r w:rsidRPr="009A0F70">
        <w:rPr>
          <w:rFonts w:cs="Arial"/>
        </w:rPr>
        <w:t xml:space="preserve">ed </w:t>
      </w:r>
      <w:r>
        <w:rPr>
          <w:rFonts w:cs="Arial"/>
        </w:rPr>
        <w:t>f</w:t>
      </w:r>
      <w:r w:rsidRPr="009A0F70">
        <w:rPr>
          <w:rFonts w:cs="Arial"/>
        </w:rPr>
        <w:t>ox</w:t>
      </w:r>
      <w:r w:rsidRPr="009A0F70">
        <w:rPr>
          <w:rFonts w:cs="Arial"/>
          <w:i/>
        </w:rPr>
        <w:t xml:space="preserve"> </w:t>
      </w:r>
      <w:r>
        <w:rPr>
          <w:rFonts w:cs="Arial"/>
        </w:rPr>
        <w:t>(</w:t>
      </w:r>
      <w:r w:rsidRPr="009A0F70">
        <w:rPr>
          <w:rFonts w:cs="Arial"/>
          <w:i/>
        </w:rPr>
        <w:t>Vulpes vulpes</w:t>
      </w:r>
      <w:r>
        <w:rPr>
          <w:rFonts w:cs="Arial"/>
        </w:rPr>
        <w:t>), c</w:t>
      </w:r>
      <w:r w:rsidRPr="009A0F70">
        <w:rPr>
          <w:rFonts w:cs="Arial"/>
        </w:rPr>
        <w:t xml:space="preserve">at </w:t>
      </w:r>
      <w:r>
        <w:rPr>
          <w:rFonts w:cs="Arial"/>
        </w:rPr>
        <w:t>(</w:t>
      </w:r>
      <w:r w:rsidRPr="009A0F70">
        <w:rPr>
          <w:rFonts w:cs="Arial"/>
          <w:i/>
        </w:rPr>
        <w:t>Felis catus</w:t>
      </w:r>
      <w:r>
        <w:rPr>
          <w:rFonts w:cs="Arial"/>
        </w:rPr>
        <w:t>)</w:t>
      </w:r>
      <w:r w:rsidRPr="009A0F70">
        <w:rPr>
          <w:rFonts w:cs="Arial"/>
        </w:rPr>
        <w:t xml:space="preserve"> and </w:t>
      </w:r>
      <w:r>
        <w:rPr>
          <w:rFonts w:cs="Arial"/>
        </w:rPr>
        <w:t>d</w:t>
      </w:r>
      <w:r w:rsidRPr="009A0F70">
        <w:rPr>
          <w:rFonts w:cs="Arial"/>
        </w:rPr>
        <w:t xml:space="preserve">omestic </w:t>
      </w:r>
      <w:r>
        <w:rPr>
          <w:rFonts w:cs="Arial"/>
        </w:rPr>
        <w:t>d</w:t>
      </w:r>
      <w:r w:rsidRPr="009A0F70">
        <w:rPr>
          <w:rFonts w:cs="Arial"/>
        </w:rPr>
        <w:t xml:space="preserve">og </w:t>
      </w:r>
      <w:r>
        <w:rPr>
          <w:rFonts w:cs="Arial"/>
        </w:rPr>
        <w:t>(</w:t>
      </w:r>
      <w:r w:rsidRPr="009A0F70">
        <w:rPr>
          <w:rFonts w:cs="Arial"/>
          <w:i/>
        </w:rPr>
        <w:t>Canis lupus</w:t>
      </w:r>
      <w:r>
        <w:rPr>
          <w:rFonts w:cs="Arial"/>
        </w:rPr>
        <w:t xml:space="preserve">). </w:t>
      </w:r>
      <w:r w:rsidRPr="009A0F70">
        <w:rPr>
          <w:rFonts w:cs="Arial"/>
        </w:rPr>
        <w:t xml:space="preserve">The majority </w:t>
      </w:r>
      <w:r>
        <w:rPr>
          <w:rFonts w:cs="Arial"/>
        </w:rPr>
        <w:t xml:space="preserve">of </w:t>
      </w:r>
      <w:r w:rsidRPr="009A0F70">
        <w:rPr>
          <w:rFonts w:cs="Arial"/>
        </w:rPr>
        <w:t>the</w:t>
      </w:r>
      <w:r>
        <w:rPr>
          <w:rFonts w:cs="Arial"/>
        </w:rPr>
        <w:t>se</w:t>
      </w:r>
      <w:r w:rsidRPr="009A0F70">
        <w:rPr>
          <w:rFonts w:cs="Arial"/>
        </w:rPr>
        <w:t xml:space="preserve"> introduced taxa have been widely acknowledged as implicit in the degradation of habitat values for both native fauna biodiversity and threatened species</w:t>
      </w:r>
      <w:r>
        <w:rPr>
          <w:rFonts w:cs="Arial"/>
        </w:rPr>
        <w:t xml:space="preserve">. </w:t>
      </w:r>
    </w:p>
    <w:p w:rsidR="000E4357" w:rsidRPr="009A0F70" w:rsidRDefault="000E4357" w:rsidP="000E4357">
      <w:pPr>
        <w:pStyle w:val="Text"/>
      </w:pPr>
      <w:r w:rsidRPr="009A0F70">
        <w:t>Of the introduced species recorded on the site, comparatively higher threats to fauna habitat values are linked to the presence of foxes and cats, though also dogs</w:t>
      </w:r>
      <w:r>
        <w:t xml:space="preserve">. </w:t>
      </w:r>
      <w:r w:rsidRPr="009A0F70">
        <w:t>Threats include disturbance to birds on their feeding grounds, roost and breeding sites, and predation of birds, their chicks and eggs</w:t>
      </w:r>
      <w:r>
        <w:t xml:space="preserve">. </w:t>
      </w:r>
      <w:r w:rsidRPr="009A0F70">
        <w:lastRenderedPageBreak/>
        <w:t>Such threats to waterbirds, and particularly shorebirds, have been widely acknowledged (</w:t>
      </w:r>
      <w:r>
        <w:t xml:space="preserve">for example, </w:t>
      </w:r>
      <w:r w:rsidRPr="009A0F70">
        <w:t xml:space="preserve">Davidson and Rothwell 1993; </w:t>
      </w:r>
      <w:r>
        <w:t xml:space="preserve">Environment Australia 1999; </w:t>
      </w:r>
      <w:r w:rsidRPr="009A0F70">
        <w:t>Harding and Wilson</w:t>
      </w:r>
      <w:r w:rsidRPr="009A0F70">
        <w:rPr>
          <w:i/>
        </w:rPr>
        <w:t xml:space="preserve"> </w:t>
      </w:r>
      <w:r w:rsidRPr="009A0F70">
        <w:t>2007).</w:t>
      </w:r>
    </w:p>
    <w:p w:rsidR="000E4357" w:rsidRPr="009A0F70" w:rsidRDefault="000E4357" w:rsidP="000E4357">
      <w:pPr>
        <w:pStyle w:val="Text"/>
        <w:rPr>
          <w:rFonts w:cs="Arial"/>
          <w:spacing w:val="0"/>
        </w:rPr>
      </w:pPr>
      <w:r w:rsidRPr="009A0F70">
        <w:t>Foxes are known to occur within areas used by shorebirds for feeding, roosting and breeding (</w:t>
      </w:r>
      <w:r>
        <w:t>for example,</w:t>
      </w:r>
      <w:r w:rsidRPr="009A0F70">
        <w:t xml:space="preserve"> Dream, Snake and Little Snake Islands; Clemens </w:t>
      </w:r>
      <w:r w:rsidRPr="00326DB1">
        <w:t>et al.</w:t>
      </w:r>
      <w:r w:rsidRPr="009A0F70">
        <w:t xml:space="preserve"> 2007)</w:t>
      </w:r>
      <w:r>
        <w:t xml:space="preserve">. </w:t>
      </w:r>
      <w:r w:rsidRPr="009A0F70">
        <w:t xml:space="preserve">Foxes are known to predate on birds, their chicks and eggs, and are implicated in local declines of threatened shorebirds including </w:t>
      </w:r>
      <w:r>
        <w:t>H</w:t>
      </w:r>
      <w:r w:rsidRPr="009A0F70">
        <w:t xml:space="preserve">ooded </w:t>
      </w:r>
      <w:r>
        <w:t>P</w:t>
      </w:r>
      <w:r w:rsidRPr="009A0F70">
        <w:t>lover (</w:t>
      </w:r>
      <w:r w:rsidRPr="009A0F70">
        <w:rPr>
          <w:rFonts w:cs="Arial"/>
          <w:spacing w:val="0"/>
        </w:rPr>
        <w:t xml:space="preserve">Weston 2000 and 2003; </w:t>
      </w:r>
      <w:r w:rsidRPr="009A0F70">
        <w:rPr>
          <w:lang w:val="en-US"/>
        </w:rPr>
        <w:t xml:space="preserve">Clemens </w:t>
      </w:r>
      <w:r w:rsidRPr="00326DB1">
        <w:rPr>
          <w:lang w:val="en-US"/>
        </w:rPr>
        <w:t>et al.</w:t>
      </w:r>
      <w:r w:rsidRPr="009A0F70">
        <w:rPr>
          <w:i/>
          <w:lang w:val="en-US"/>
        </w:rPr>
        <w:t xml:space="preserve"> </w:t>
      </w:r>
      <w:r w:rsidRPr="009A0F70">
        <w:rPr>
          <w:lang w:val="en-US"/>
        </w:rPr>
        <w:t>2007</w:t>
      </w:r>
      <w:r w:rsidRPr="009A0F70">
        <w:rPr>
          <w:rFonts w:cs="Arial"/>
          <w:spacing w:val="0"/>
        </w:rPr>
        <w:t xml:space="preserve">) </w:t>
      </w:r>
      <w:r w:rsidRPr="009A0F70">
        <w:t xml:space="preserve">and </w:t>
      </w:r>
      <w:r>
        <w:t>pied o</w:t>
      </w:r>
      <w:r w:rsidRPr="009A0F70">
        <w:t xml:space="preserve">ystercatcher (Minton 1997; Taylor and Minton 2006; </w:t>
      </w:r>
      <w:r w:rsidRPr="009A0F70">
        <w:rPr>
          <w:lang w:val="en-US"/>
        </w:rPr>
        <w:t xml:space="preserve">Clemens </w:t>
      </w:r>
      <w:r w:rsidRPr="00326DB1">
        <w:rPr>
          <w:lang w:val="en-US"/>
        </w:rPr>
        <w:t>et al.</w:t>
      </w:r>
      <w:r w:rsidRPr="009A0F70">
        <w:rPr>
          <w:i/>
          <w:lang w:val="en-US"/>
        </w:rPr>
        <w:t xml:space="preserve"> </w:t>
      </w:r>
      <w:r w:rsidRPr="009A0F70">
        <w:rPr>
          <w:lang w:val="en-US"/>
        </w:rPr>
        <w:t>2007</w:t>
      </w:r>
      <w:r w:rsidRPr="009A0F70">
        <w:t>)</w:t>
      </w:r>
      <w:r>
        <w:rPr>
          <w:rFonts w:cs="Arial"/>
          <w:spacing w:val="0"/>
        </w:rPr>
        <w:t xml:space="preserve">. </w:t>
      </w:r>
    </w:p>
    <w:p w:rsidR="000E4357" w:rsidRPr="009A0F70" w:rsidRDefault="000E4357" w:rsidP="000E4357">
      <w:pPr>
        <w:pStyle w:val="Text"/>
        <w:rPr>
          <w:rFonts w:cs="Arial"/>
        </w:rPr>
      </w:pPr>
      <w:r w:rsidRPr="009A0F70">
        <w:t xml:space="preserve">Taylor and Minton (2006) contend that the poor usage of </w:t>
      </w:r>
      <w:r>
        <w:t>p</w:t>
      </w:r>
      <w:r w:rsidRPr="009A0F70">
        <w:t xml:space="preserve">ied </w:t>
      </w:r>
      <w:r>
        <w:t>o</w:t>
      </w:r>
      <w:r w:rsidRPr="009A0F70">
        <w:t xml:space="preserve">ystercatchers within what appears to be suitable nesting habitats on both Snake Island (the largest island within the site) and Little Snake Island, is largely influenced by the presence of </w:t>
      </w:r>
      <w:r w:rsidRPr="00C93E86">
        <w:t>foxes (compared with</w:t>
      </w:r>
      <w:r w:rsidRPr="009A0F70">
        <w:t xml:space="preserve"> high numbers of oystercatchers recorded on Sunday Island – the only island within the site considered to be free of foxes and other introduced predators such as cats)</w:t>
      </w:r>
      <w:r>
        <w:t xml:space="preserve">. </w:t>
      </w:r>
      <w:r w:rsidRPr="009A0F70">
        <w:rPr>
          <w:rFonts w:cs="Arial"/>
        </w:rPr>
        <w:t xml:space="preserve">Pied </w:t>
      </w:r>
      <w:r>
        <w:rPr>
          <w:rFonts w:cs="Arial"/>
        </w:rPr>
        <w:t>o</w:t>
      </w:r>
      <w:r w:rsidRPr="009A0F70">
        <w:rPr>
          <w:rFonts w:cs="Arial"/>
        </w:rPr>
        <w:t>ystercatchers have been observed to have very low breeding success on islands where introduced foxes have eaten eggs and chicks (</w:t>
      </w:r>
      <w:r w:rsidRPr="009A0F70">
        <w:rPr>
          <w:lang w:val="en-US"/>
        </w:rPr>
        <w:t xml:space="preserve">Clemens </w:t>
      </w:r>
      <w:r w:rsidRPr="00326DB1">
        <w:rPr>
          <w:lang w:val="en-US"/>
        </w:rPr>
        <w:t>et al.</w:t>
      </w:r>
      <w:r w:rsidRPr="009A0F70">
        <w:rPr>
          <w:i/>
          <w:lang w:val="en-US"/>
        </w:rPr>
        <w:t xml:space="preserve"> </w:t>
      </w:r>
      <w:r w:rsidRPr="009A0F70">
        <w:rPr>
          <w:lang w:val="en-US"/>
        </w:rPr>
        <w:t>2007</w:t>
      </w:r>
      <w:r w:rsidRPr="009A0F70">
        <w:rPr>
          <w:rFonts w:cs="Arial"/>
        </w:rPr>
        <w:t>)</w:t>
      </w:r>
      <w:r>
        <w:rPr>
          <w:rFonts w:cs="Arial"/>
        </w:rPr>
        <w:t xml:space="preserve">. Note that the bird count data presented in Section 3.3.2 are not of sufficient temporal resolution to detect long term changes in </w:t>
      </w:r>
      <w:r>
        <w:t>p</w:t>
      </w:r>
      <w:r w:rsidRPr="009A0F70">
        <w:t xml:space="preserve">ied </w:t>
      </w:r>
      <w:r>
        <w:t>oystercatcher abundance in these areas</w:t>
      </w:r>
      <w:r>
        <w:rPr>
          <w:rFonts w:cs="Arial"/>
        </w:rPr>
        <w:t xml:space="preserve">.   </w:t>
      </w:r>
    </w:p>
    <w:p w:rsidR="000E4357" w:rsidRPr="009A0F70" w:rsidRDefault="000E4357" w:rsidP="000E4357">
      <w:pPr>
        <w:pStyle w:val="Text"/>
      </w:pPr>
      <w:r w:rsidRPr="009A0F70">
        <w:rPr>
          <w:rFonts w:cs="Arial"/>
        </w:rPr>
        <w:t xml:space="preserve">Clemens </w:t>
      </w:r>
      <w:r w:rsidRPr="00326DB1">
        <w:rPr>
          <w:rFonts w:cs="Arial"/>
        </w:rPr>
        <w:t>et al.</w:t>
      </w:r>
      <w:r w:rsidRPr="009A0F70">
        <w:rPr>
          <w:rFonts w:cs="Arial"/>
          <w:i/>
        </w:rPr>
        <w:t xml:space="preserve"> </w:t>
      </w:r>
      <w:r w:rsidRPr="009A0F70">
        <w:rPr>
          <w:rFonts w:cs="Arial"/>
        </w:rPr>
        <w:t xml:space="preserve">(2007) noted the high potential for threats to shorebirds along beaches and coinciding with human activity - </w:t>
      </w:r>
      <w:r w:rsidRPr="009A0F70">
        <w:t>accidental human induced mortality or breeding failure in these areas occurs primarily to well camouflaged eggs or chicks that are killed when they are accidentally stepped on or run over by vehicles</w:t>
      </w:r>
      <w:r>
        <w:t xml:space="preserve">. </w:t>
      </w:r>
      <w:r w:rsidRPr="009A0F70">
        <w:rPr>
          <w:rFonts w:cs="Arial"/>
        </w:rPr>
        <w:t xml:space="preserve">Clemens </w:t>
      </w:r>
      <w:r w:rsidRPr="00326DB1">
        <w:rPr>
          <w:rFonts w:cs="Arial"/>
        </w:rPr>
        <w:t>et al.</w:t>
      </w:r>
      <w:r w:rsidRPr="009A0F70">
        <w:rPr>
          <w:rFonts w:cs="Arial"/>
          <w:i/>
        </w:rPr>
        <w:t xml:space="preserve"> </w:t>
      </w:r>
      <w:r w:rsidRPr="009A0F70">
        <w:rPr>
          <w:rFonts w:cs="Arial"/>
        </w:rPr>
        <w:t>(2007)</w:t>
      </w:r>
      <w:r w:rsidRPr="009A0F70">
        <w:t xml:space="preserve"> also highlighted that domestic dogs, especially when not on a leash can step on or eat eggs and chicks</w:t>
      </w:r>
      <w:r>
        <w:t xml:space="preserve">. </w:t>
      </w:r>
      <w:r w:rsidRPr="009A0F70">
        <w:t>Thom</w:t>
      </w:r>
      <w:r>
        <w:t>p</w:t>
      </w:r>
      <w:r w:rsidRPr="009A0F70">
        <w:t>son (1992) found that the presence of dogs (and humans) can impact on feeding and roosting shorebirds more than 200</w:t>
      </w:r>
      <w:r>
        <w:t xml:space="preserve"> </w:t>
      </w:r>
      <w:r w:rsidRPr="009A0F70">
        <w:t>m</w:t>
      </w:r>
      <w:r>
        <w:t>etres</w:t>
      </w:r>
      <w:r w:rsidRPr="009A0F70">
        <w:t xml:space="preserve"> away</w:t>
      </w:r>
      <w:r>
        <w:t xml:space="preserve">. </w:t>
      </w:r>
    </w:p>
    <w:p w:rsidR="000E4357" w:rsidRPr="009A0F70" w:rsidRDefault="000E4357" w:rsidP="000E4357">
      <w:pPr>
        <w:pStyle w:val="Text"/>
        <w:rPr>
          <w:b/>
        </w:rPr>
      </w:pPr>
      <w:r w:rsidRPr="009A0F70">
        <w:rPr>
          <w:b/>
        </w:rPr>
        <w:t xml:space="preserve">Invasive </w:t>
      </w:r>
      <w:r>
        <w:rPr>
          <w:b/>
        </w:rPr>
        <w:t>M</w:t>
      </w:r>
      <w:r w:rsidRPr="009A0F70">
        <w:rPr>
          <w:b/>
        </w:rPr>
        <w:t xml:space="preserve">arine </w:t>
      </w:r>
      <w:r>
        <w:rPr>
          <w:b/>
        </w:rPr>
        <w:t>A</w:t>
      </w:r>
      <w:r w:rsidRPr="009A0F70">
        <w:rPr>
          <w:b/>
        </w:rPr>
        <w:t>nimals</w:t>
      </w:r>
    </w:p>
    <w:p w:rsidR="000E4357" w:rsidRPr="009A0F70" w:rsidRDefault="000E4357" w:rsidP="000E4357">
      <w:pPr>
        <w:pStyle w:val="Text"/>
      </w:pPr>
      <w:r>
        <w:t>Ecos (unpublished)</w:t>
      </w:r>
      <w:r w:rsidRPr="009A0F70">
        <w:t xml:space="preserve"> identified three key invasive marine pest </w:t>
      </w:r>
      <w:r>
        <w:t xml:space="preserve">animal </w:t>
      </w:r>
      <w:r w:rsidRPr="009A0F70">
        <w:t>species as potential threats in Corner Inlet Ramsar site:</w:t>
      </w:r>
    </w:p>
    <w:p w:rsidR="000E4357" w:rsidRPr="003E4CDF" w:rsidRDefault="000E4357" w:rsidP="000E4357">
      <w:pPr>
        <w:pStyle w:val="Bullets"/>
        <w:rPr>
          <w:i/>
        </w:rPr>
      </w:pPr>
      <w:r>
        <w:t>N</w:t>
      </w:r>
      <w:r w:rsidRPr="009A0F70">
        <w:t>orthern Pacif</w:t>
      </w:r>
      <w:r>
        <w:t>ic s</w:t>
      </w:r>
      <w:r w:rsidRPr="009A0F70">
        <w:t>eastar (</w:t>
      </w:r>
      <w:r w:rsidRPr="009A0F70">
        <w:rPr>
          <w:i/>
        </w:rPr>
        <w:t>Asterias amurensis</w:t>
      </w:r>
      <w:r w:rsidRPr="009A0F70">
        <w:t>)</w:t>
      </w:r>
      <w:r>
        <w:t xml:space="preserve"> - This</w:t>
      </w:r>
      <w:r w:rsidRPr="003E4CDF">
        <w:t xml:space="preserve"> invasive starfish </w:t>
      </w:r>
      <w:r>
        <w:t>occurs</w:t>
      </w:r>
      <w:r w:rsidRPr="003E4CDF">
        <w:t xml:space="preserve"> in mud, sand or rocky habitats, but typically in areas protected from direct wave action</w:t>
      </w:r>
      <w:r>
        <w:t xml:space="preserve">. </w:t>
      </w:r>
      <w:r w:rsidRPr="003E4CDF">
        <w:t>It is a voracious predator and will eat almost any animal it can capture</w:t>
      </w:r>
      <w:r>
        <w:t xml:space="preserve">. </w:t>
      </w:r>
      <w:r w:rsidRPr="003E4CDF">
        <w:t xml:space="preserve">It is considered a serious pest in </w:t>
      </w:r>
      <w:smartTag w:uri="urn:schemas-microsoft-com:office:smarttags" w:element="place">
        <w:smartTag w:uri="urn:schemas-microsoft-com:office:smarttags" w:element="country-region">
          <w:r w:rsidRPr="003E4CDF">
            <w:t>Australia</w:t>
          </w:r>
        </w:smartTag>
      </w:smartTag>
      <w:r w:rsidRPr="003E4CDF">
        <w:t xml:space="preserve"> because of its impact on native marine ecosystems and marine industries such as shellfish farming (DSE 2007)</w:t>
      </w:r>
      <w:r>
        <w:t xml:space="preserve">. </w:t>
      </w:r>
      <w:r w:rsidRPr="003E4CDF">
        <w:t xml:space="preserve">This species has been recorded at </w:t>
      </w:r>
      <w:smartTag w:uri="urn:schemas-microsoft-com:office:smarttags" w:element="place">
        <w:r w:rsidRPr="003E4CDF">
          <w:t>Port Phillip Bay</w:t>
        </w:r>
      </w:smartTag>
      <w:r w:rsidRPr="003E4CDF">
        <w:t xml:space="preserve"> and represents an invasion risk to Corner Inlet</w:t>
      </w:r>
      <w:r>
        <w:t xml:space="preserve">. </w:t>
      </w:r>
      <w:r w:rsidRPr="003E4CDF">
        <w:t>Ongoing survey work is required to detect and remove any infestations of t</w:t>
      </w:r>
      <w:r>
        <w:t>his species within Corner Inlet</w:t>
      </w:r>
    </w:p>
    <w:p w:rsidR="000E4357" w:rsidRPr="003E4CDF" w:rsidRDefault="000E4357" w:rsidP="000E4357">
      <w:pPr>
        <w:pStyle w:val="Bullets"/>
        <w:rPr>
          <w:i/>
        </w:rPr>
      </w:pPr>
      <w:r w:rsidRPr="009A0F70">
        <w:t>E</w:t>
      </w:r>
      <w:r>
        <w:t>uropean s</w:t>
      </w:r>
      <w:r w:rsidRPr="009A0F70">
        <w:t xml:space="preserve">hore </w:t>
      </w:r>
      <w:r>
        <w:t>c</w:t>
      </w:r>
      <w:r w:rsidRPr="009A0F70">
        <w:t>rab (</w:t>
      </w:r>
      <w:r w:rsidRPr="003E4CDF">
        <w:rPr>
          <w:i/>
        </w:rPr>
        <w:t>Carcinus maenas</w:t>
      </w:r>
      <w:r w:rsidRPr="009A0F70">
        <w:t>)</w:t>
      </w:r>
      <w:r>
        <w:t xml:space="preserve"> – This species</w:t>
      </w:r>
      <w:r w:rsidRPr="009A0F70">
        <w:t xml:space="preserve"> has been present at </w:t>
      </w:r>
      <w:r>
        <w:t>Corner Inlet since the late 19</w:t>
      </w:r>
      <w:r w:rsidRPr="00C93E86">
        <w:rPr>
          <w:vertAlign w:val="superscript"/>
        </w:rPr>
        <w:t>th</w:t>
      </w:r>
      <w:r>
        <w:t xml:space="preserve"> </w:t>
      </w:r>
      <w:r w:rsidRPr="009A0F70">
        <w:t>century (P</w:t>
      </w:r>
      <w:r>
        <w:t xml:space="preserve">arks </w:t>
      </w:r>
      <w:r w:rsidRPr="009A0F70">
        <w:t>V</w:t>
      </w:r>
      <w:r>
        <w:t>ictoria</w:t>
      </w:r>
      <w:r w:rsidRPr="009A0F70">
        <w:t xml:space="preserve"> 2005)</w:t>
      </w:r>
      <w:r>
        <w:t>. It</w:t>
      </w:r>
      <w:r w:rsidRPr="009A0F70">
        <w:t xml:space="preserve"> is an extremely </w:t>
      </w:r>
      <w:r>
        <w:t>tolerant</w:t>
      </w:r>
      <w:r w:rsidRPr="009A0F70">
        <w:t xml:space="preserve"> and hardy species, and is found in both the intertidal and shallow subtidal zones of bays and estuaries rather than exposed, rocky or sandy open coasts. </w:t>
      </w:r>
      <w:r w:rsidRPr="00135D7A">
        <w:rPr>
          <w:i/>
        </w:rPr>
        <w:t>C. maenas</w:t>
      </w:r>
      <w:r w:rsidRPr="009A0F70">
        <w:t xml:space="preserve"> is a voracious predator with a broad diet and has been implicated in the decline of native shellfish populations, some of commercial importance. In the northwest </w:t>
      </w:r>
      <w:smartTag w:uri="urn:schemas-microsoft-com:office:smarttags" w:element="place">
        <w:r w:rsidRPr="009A0F70">
          <w:t>Atlantic</w:t>
        </w:r>
      </w:smartTag>
      <w:r w:rsidRPr="009A0F70">
        <w:t xml:space="preserve"> it consumes a wide variety of native species, outcompeting most for food and habitat</w:t>
      </w:r>
      <w:r>
        <w:t xml:space="preserve">. </w:t>
      </w:r>
      <w:r w:rsidRPr="009A0F70">
        <w:t xml:space="preserve">Based on its invasion history around the world, the impacts that it may have had when it first reached </w:t>
      </w:r>
      <w:smartTag w:uri="urn:schemas-microsoft-com:office:smarttags" w:element="place">
        <w:smartTag w:uri="urn:schemas-microsoft-com:office:smarttags" w:element="country-region">
          <w:r w:rsidRPr="009A0F70">
            <w:t>Australia</w:t>
          </w:r>
        </w:smartTag>
      </w:smartTag>
      <w:r w:rsidRPr="009A0F70">
        <w:t xml:space="preserve"> are likely to have been substantial. Similarly, its effects in Corner Inlet are unknown but are likely to have been significant. In </w:t>
      </w:r>
      <w:smartTag w:uri="urn:schemas-microsoft-com:office:smarttags" w:element="place">
        <w:smartTag w:uri="urn:schemas-microsoft-com:office:smarttags" w:element="State">
          <w:r w:rsidRPr="009A0F70">
            <w:t>Tasmania</w:t>
          </w:r>
        </w:smartTag>
      </w:smartTag>
      <w:r w:rsidRPr="009A0F70">
        <w:t xml:space="preserve">, </w:t>
      </w:r>
      <w:r w:rsidRPr="005C7A12">
        <w:rPr>
          <w:i/>
        </w:rPr>
        <w:t>C. maenas</w:t>
      </w:r>
      <w:r w:rsidRPr="009A0F70">
        <w:t xml:space="preserve"> has been present for about 15 years and is a major cause of mortality in </w:t>
      </w:r>
      <w:r w:rsidRPr="009A0F70">
        <w:lastRenderedPageBreak/>
        <w:t xml:space="preserve">native crab and mollusc populations (NIMPIS 2002). Survey work is required to map the extent of their invasion and its </w:t>
      </w:r>
      <w:r>
        <w:t>impact on the environment</w:t>
      </w:r>
    </w:p>
    <w:p w:rsidR="000E4357" w:rsidRPr="003E4CDF" w:rsidRDefault="000E4357" w:rsidP="000E4357">
      <w:pPr>
        <w:pStyle w:val="Bullets"/>
        <w:rPr>
          <w:i/>
        </w:rPr>
      </w:pPr>
      <w:r>
        <w:t>Mediterranean f</w:t>
      </w:r>
      <w:r w:rsidRPr="003E4CDF">
        <w:t>anworm (</w:t>
      </w:r>
      <w:r w:rsidRPr="003E4CDF">
        <w:rPr>
          <w:i/>
        </w:rPr>
        <w:t>Sabella spallanzanii</w:t>
      </w:r>
      <w:r w:rsidRPr="003E4CDF">
        <w:t xml:space="preserve">) – this species has become established along the south eastern and south western </w:t>
      </w:r>
      <w:r>
        <w:t>Australian</w:t>
      </w:r>
      <w:r w:rsidRPr="003E4CDF">
        <w:t xml:space="preserve"> coastline including Port Phillip Bay</w:t>
      </w:r>
      <w:r>
        <w:t xml:space="preserve">. </w:t>
      </w:r>
      <w:r w:rsidRPr="003E4CDF">
        <w:rPr>
          <w:i/>
        </w:rPr>
        <w:t xml:space="preserve">S. spallanzanii </w:t>
      </w:r>
      <w:r w:rsidRPr="003E4CDF">
        <w:t xml:space="preserve">inhabits shallow subtidal areas between </w:t>
      </w:r>
      <w:r>
        <w:t>one and</w:t>
      </w:r>
      <w:r w:rsidRPr="003E4CDF">
        <w:t xml:space="preserve"> 30</w:t>
      </w:r>
      <w:r>
        <w:t xml:space="preserve"> </w:t>
      </w:r>
      <w:r w:rsidRPr="003E4CDF">
        <w:t>m</w:t>
      </w:r>
      <w:r>
        <w:t>etres</w:t>
      </w:r>
      <w:r w:rsidRPr="003E4CDF">
        <w:t xml:space="preserve"> depth, preferring harbours and embayments sheltered from direct wave action</w:t>
      </w:r>
      <w:r>
        <w:t xml:space="preserve">. </w:t>
      </w:r>
      <w:r w:rsidRPr="003E4CDF">
        <w:t>It colonises both hard and soft substrata, often anchored to hard surfaces within the soft sediments</w:t>
      </w:r>
      <w:r>
        <w:t xml:space="preserve">. </w:t>
      </w:r>
      <w:r w:rsidRPr="003E4CDF">
        <w:rPr>
          <w:i/>
        </w:rPr>
        <w:t xml:space="preserve">S. spallanzanii </w:t>
      </w:r>
      <w:r w:rsidRPr="003E4CDF">
        <w:t xml:space="preserve">presents a potential invasion risk to Corner </w:t>
      </w:r>
      <w:r>
        <w:t xml:space="preserve">Inlet since it </w:t>
      </w:r>
      <w:r w:rsidRPr="003E4CDF">
        <w:t xml:space="preserve">is established </w:t>
      </w:r>
      <w:r>
        <w:t xml:space="preserve">in similar habitats in other areas </w:t>
      </w:r>
      <w:r w:rsidRPr="003E4CDF">
        <w:t xml:space="preserve">elsewhere along the </w:t>
      </w:r>
      <w:smartTag w:uri="urn:schemas-microsoft-com:office:smarttags" w:element="PlaceName">
        <w:r w:rsidRPr="003E4CDF">
          <w:t>Victorian</w:t>
        </w:r>
      </w:smartTag>
      <w:r w:rsidRPr="003E4CDF">
        <w:t xml:space="preserve"> Coast</w:t>
      </w:r>
      <w:r>
        <w:t xml:space="preserve">. </w:t>
      </w:r>
      <w:r w:rsidRPr="003E4CDF">
        <w:t>Survey work is required to ascertain if there has been an infestation of the species in Corner Inlet.</w:t>
      </w:r>
    </w:p>
    <w:p w:rsidR="000E4357" w:rsidRPr="009A0F70" w:rsidRDefault="000E4357" w:rsidP="000E4357">
      <w:pPr>
        <w:pStyle w:val="Heading2"/>
        <w:ind w:left="851" w:hanging="851"/>
      </w:pPr>
      <w:bookmarkStart w:id="22" w:name="_Ref280172951"/>
      <w:bookmarkStart w:id="23" w:name="_Toc295374240"/>
      <w:r w:rsidRPr="009A0F70">
        <w:t>Changes to Ecological Character</w:t>
      </w:r>
      <w:bookmarkEnd w:id="4"/>
      <w:bookmarkEnd w:id="22"/>
      <w:bookmarkEnd w:id="23"/>
      <w:r w:rsidRPr="009A0F70">
        <w:tab/>
      </w:r>
    </w:p>
    <w:p w:rsidR="000E4357" w:rsidRDefault="000E4357" w:rsidP="000E4357">
      <w:pPr>
        <w:pStyle w:val="Text"/>
      </w:pPr>
      <w:r>
        <w:t xml:space="preserve">The National ECD Framework requires ECD studies to assess the extent to which the ecological character of the wetland has changed, with a specific point of reference or baseline from the date of designation into the Ramsar List of Wetlands of International Importance. </w:t>
      </w:r>
    </w:p>
    <w:p w:rsidR="000E4357" w:rsidRDefault="000E4357" w:rsidP="000E4357">
      <w:pPr>
        <w:pStyle w:val="Text"/>
      </w:pPr>
      <w:r>
        <w:t xml:space="preserve">Following a review of scientific literature and planning documents relevant to the Corner Inlet Ramsar site, together with information contained within Ecos (unpublished), the study team engaged the Steering Committee members about their preliminary views regarding potential changes to ecological character that have occurred since listing of the site. In particular, the study team sought advice about impacts to those aspects of the site nominated as critical services/benefits and underlying components and processes as outlined in the previous sections of this report. </w:t>
      </w:r>
    </w:p>
    <w:p w:rsidR="000E4357" w:rsidRDefault="000E4357" w:rsidP="000E4357">
      <w:pPr>
        <w:pStyle w:val="Text"/>
      </w:pPr>
      <w:r>
        <w:t>The literature review and experts have not identified any significant or overarching changes in ecological character of the site since 1982, but recognise that a number of long term threats are having an incremental and cumulative effect on ecological character and require further investigation  (refer Section 6.1.1). Likewise, no views were expressed in the information sources reviewed or from the committee members to merit consideration that the ecological character of the site had significantly diminished with respect to the critical services/benefits, components and processes outlined in this study (that is, no LACs are known to have been breached, refer Section 6.1.2).</w:t>
      </w:r>
    </w:p>
    <w:p w:rsidR="000E4357" w:rsidRDefault="000E4357" w:rsidP="000E4357">
      <w:pPr>
        <w:pStyle w:val="Heading3"/>
        <w:ind w:left="851" w:hanging="851"/>
      </w:pPr>
      <w:bookmarkStart w:id="24" w:name="_Ref280175004"/>
      <w:bookmarkStart w:id="25" w:name="_Toc295374241"/>
      <w:r>
        <w:t>Key Trends</w:t>
      </w:r>
      <w:bookmarkEnd w:id="24"/>
      <w:bookmarkEnd w:id="25"/>
    </w:p>
    <w:p w:rsidR="000E4357" w:rsidRDefault="000E4357" w:rsidP="000E4357">
      <w:pPr>
        <w:pStyle w:val="Text"/>
      </w:pPr>
      <w:r>
        <w:t>With regards to threats that are having an incremental and cumulative effect on ecological character, key issues in the context of perceived impacts and potential changes to ecological character of the Ramsar site are discussed as follows:</w:t>
      </w:r>
    </w:p>
    <w:p w:rsidR="000E4357" w:rsidRPr="00746F2E" w:rsidRDefault="000E4357" w:rsidP="000E4357">
      <w:pPr>
        <w:pStyle w:val="Text"/>
        <w:rPr>
          <w:b/>
        </w:rPr>
      </w:pPr>
      <w:r>
        <w:rPr>
          <w:b/>
        </w:rPr>
        <w:t>Localised D</w:t>
      </w:r>
      <w:r w:rsidRPr="00746F2E">
        <w:rPr>
          <w:b/>
        </w:rPr>
        <w:t xml:space="preserve">ie-off of </w:t>
      </w:r>
      <w:r>
        <w:rPr>
          <w:b/>
        </w:rPr>
        <w:t>S</w:t>
      </w:r>
      <w:r w:rsidRPr="00746F2E">
        <w:rPr>
          <w:b/>
        </w:rPr>
        <w:t xml:space="preserve">eagrass </w:t>
      </w:r>
      <w:r>
        <w:rPr>
          <w:b/>
        </w:rPr>
        <w:t>C</w:t>
      </w:r>
      <w:r w:rsidRPr="00746F2E">
        <w:rPr>
          <w:b/>
        </w:rPr>
        <w:t>ommunities</w:t>
      </w:r>
    </w:p>
    <w:p w:rsidR="000E4357" w:rsidRDefault="000E4357" w:rsidP="000E4357">
      <w:pPr>
        <w:pStyle w:val="Text"/>
      </w:pPr>
      <w:r>
        <w:t xml:space="preserve">In response to anecdotal reports from commercial fishers of recent seagrass loss, Hindell </w:t>
      </w:r>
      <w:r w:rsidRPr="00326DB1">
        <w:t>et al.</w:t>
      </w:r>
      <w:r>
        <w:t xml:space="preserve"> (2007) examined seagrass at six locations in Corner Inlet since 1998. Analysis of aerial photographs showed that there had been a substantial loss of seagrass in the greater north-western region of Corner Inlet. Specifically, four sites showed considerable loss of seagrass, one site showed an increase in area and one site exhibited no change. Dense seagrass beds, mostly comprised of </w:t>
      </w:r>
      <w:r>
        <w:rPr>
          <w:i/>
        </w:rPr>
        <w:t>P. </w:t>
      </w:r>
      <w:r w:rsidRPr="00077550">
        <w:rPr>
          <w:i/>
        </w:rPr>
        <w:t>australis</w:t>
      </w:r>
      <w:r>
        <w:t xml:space="preserve">, were observed to have declined in extent, whereas there was an increase </w:t>
      </w:r>
      <w:r>
        <w:lastRenderedPageBreak/>
        <w:t xml:space="preserve">in the distribution of sparse seagrass. Ecos (unpublished) concluded that the reasons for the loss of seagrass were not entirely clear, but were most likely due to high turbidity. </w:t>
      </w:r>
    </w:p>
    <w:p w:rsidR="000E4357" w:rsidRDefault="000E4357" w:rsidP="000E4357">
      <w:pPr>
        <w:pStyle w:val="Text"/>
      </w:pPr>
      <w:r>
        <w:t xml:space="preserve">Given the importance of seagrass in supporting the nutrition of animals living in Corner Inlet (demonstrated for fish by Hindell </w:t>
      </w:r>
      <w:r w:rsidRPr="00276823">
        <w:rPr>
          <w:i/>
        </w:rPr>
        <w:t>et al</w:t>
      </w:r>
      <w:r>
        <w:t xml:space="preserve">. 2007), it would be reasonable to suggest that the loss could have lead to changes in fish and prawn recruitment success and possibly productivity. Based on anecdotal reports by Corner Inlet Fisheries Habitat Association (2009), previous losses in </w:t>
      </w:r>
      <w:r w:rsidRPr="008372B4">
        <w:rPr>
          <w:i/>
        </w:rPr>
        <w:t>Posidonia</w:t>
      </w:r>
      <w:r>
        <w:t xml:space="preserve"> meadows in 1974 reportedly resulted in major declines in fish catches, to the extent that some commercial fishers could no longer operate. Therefore, there would likely be serious ramifications for the sustainability of estuarine and marine fauna in the inlet should the recently observed seagrass loss continue. </w:t>
      </w:r>
    </w:p>
    <w:p w:rsidR="000E4357" w:rsidRDefault="000E4357" w:rsidP="000E4357">
      <w:pPr>
        <w:pStyle w:val="Text"/>
      </w:pPr>
      <w:r>
        <w:t xml:space="preserve">Further investigations are required to determine whether the recent loss of </w:t>
      </w:r>
      <w:r w:rsidRPr="008372B4">
        <w:rPr>
          <w:i/>
        </w:rPr>
        <w:t>Posidonia</w:t>
      </w:r>
      <w:r>
        <w:t xml:space="preserve"> beds in north and western Corner Inlet could be considered to represent a change to ecological character. </w:t>
      </w:r>
    </w:p>
    <w:p w:rsidR="000E4357" w:rsidRDefault="000E4357" w:rsidP="000E4357">
      <w:pPr>
        <w:pStyle w:val="Text"/>
        <w:rPr>
          <w:b/>
        </w:rPr>
      </w:pPr>
      <w:r w:rsidRPr="00077550">
        <w:rPr>
          <w:b/>
        </w:rPr>
        <w:t xml:space="preserve">Use and </w:t>
      </w:r>
      <w:r>
        <w:rPr>
          <w:b/>
        </w:rPr>
        <w:t>Q</w:t>
      </w:r>
      <w:r w:rsidRPr="00077550">
        <w:rPr>
          <w:b/>
        </w:rPr>
        <w:t xml:space="preserve">uality of </w:t>
      </w:r>
      <w:r>
        <w:rPr>
          <w:b/>
        </w:rPr>
        <w:t>H</w:t>
      </w:r>
      <w:r w:rsidRPr="00077550">
        <w:rPr>
          <w:b/>
        </w:rPr>
        <w:t xml:space="preserve">abitat for </w:t>
      </w:r>
      <w:r>
        <w:rPr>
          <w:b/>
        </w:rPr>
        <w:t>M</w:t>
      </w:r>
      <w:r w:rsidRPr="00077550">
        <w:rPr>
          <w:b/>
        </w:rPr>
        <w:t xml:space="preserve">igratory </w:t>
      </w:r>
      <w:r>
        <w:rPr>
          <w:b/>
        </w:rPr>
        <w:t>W</w:t>
      </w:r>
      <w:r w:rsidRPr="00077550">
        <w:rPr>
          <w:b/>
        </w:rPr>
        <w:t>aterbirds</w:t>
      </w:r>
    </w:p>
    <w:p w:rsidR="000E4357" w:rsidRDefault="000E4357" w:rsidP="000E4357">
      <w:pPr>
        <w:pStyle w:val="Text"/>
      </w:pPr>
      <w:r w:rsidRPr="0040251E">
        <w:rPr>
          <w:lang w:val="en-US"/>
        </w:rPr>
        <w:t>Ecos (unpublished) analysis indicates that both migratory species richness and species abundance have remained stable since 1982</w:t>
      </w:r>
      <w:r>
        <w:rPr>
          <w:lang w:val="en-US"/>
        </w:rPr>
        <w:t xml:space="preserve"> (see also section 3.3.2)</w:t>
      </w:r>
      <w:r w:rsidRPr="0040251E">
        <w:rPr>
          <w:lang w:val="en-US"/>
        </w:rPr>
        <w:t xml:space="preserve">. Two notable exceptions to this are the curlew sandpiper and sharp-tailed sandpiper, though declines in abundance of both species may reflect overall declines across their range resulting from population impacts within other parts of the flyway and on breeding grounds (see Wilson 2001; Gosbell and Clemens 2006) rather than as a </w:t>
      </w:r>
      <w:r w:rsidRPr="0040251E">
        <w:rPr>
          <w:lang w:eastAsia="en-AU"/>
        </w:rPr>
        <w:t>consequence of habitat</w:t>
      </w:r>
      <w:r w:rsidRPr="0040251E">
        <w:rPr>
          <w:lang w:val="en-US"/>
        </w:rPr>
        <w:t xml:space="preserve"> </w:t>
      </w:r>
      <w:r w:rsidRPr="0040251E">
        <w:rPr>
          <w:lang w:eastAsia="en-AU"/>
        </w:rPr>
        <w:t xml:space="preserve">change within the site </w:t>
      </w:r>
      <w:r w:rsidRPr="0040251E">
        <w:rPr>
          <w:i/>
          <w:lang w:eastAsia="en-AU"/>
        </w:rPr>
        <w:t xml:space="preserve">per se </w:t>
      </w:r>
      <w:r w:rsidRPr="0040251E">
        <w:rPr>
          <w:lang w:eastAsia="en-AU"/>
        </w:rPr>
        <w:t>(Ecos unpublished). For curlew sandpiper, there are positive signs within the last few seasons of a recovery (VWSG 2008; Ecos unpublished).</w:t>
      </w:r>
      <w:r>
        <w:rPr>
          <w:lang w:eastAsia="en-AU"/>
        </w:rPr>
        <w:t xml:space="preserve"> </w:t>
      </w:r>
    </w:p>
    <w:p w:rsidR="000E4357" w:rsidRPr="0040251E" w:rsidRDefault="000E4357" w:rsidP="000E4357">
      <w:pPr>
        <w:pStyle w:val="Text"/>
      </w:pPr>
      <w:r w:rsidRPr="0040251E">
        <w:t>It is also possible that orange-bellied parrot has declined, as it has suffered loss at other sites in the</w:t>
      </w:r>
      <w:r w:rsidRPr="009633D8">
        <w:rPr>
          <w:i/>
        </w:rPr>
        <w:t xml:space="preserve"> </w:t>
      </w:r>
      <w:r w:rsidRPr="0040251E">
        <w:t xml:space="preserve">region (Orange-bellied Parrot Recovery Team 2006). However, work on this species at Corner Inlet has only just begun and initial observations suggest that good quality habitat exists (C. Tzaros, Birds </w:t>
      </w:r>
      <w:smartTag w:uri="urn:schemas-microsoft-com:office:smarttags" w:element="place">
        <w:smartTag w:uri="urn:schemas-microsoft-com:office:smarttags" w:element="country-region">
          <w:r w:rsidRPr="0040251E">
            <w:t>Australia</w:t>
          </w:r>
        </w:smartTag>
      </w:smartTag>
      <w:r w:rsidRPr="0040251E">
        <w:t xml:space="preserve"> pers. comm.</w:t>
      </w:r>
      <w:r>
        <w:t xml:space="preserve"> in Ecos unpublished</w:t>
      </w:r>
      <w:r w:rsidRPr="0040251E">
        <w:t>). The lack of reports may be due more to the small observer effort, especially given the remoteness of sites and it is still possible Corner Inlet represents a stronghold. This is a key data gap on a critically endangered species for which there are several recent records within the Ramsar site.</w:t>
      </w:r>
    </w:p>
    <w:p w:rsidR="000E4357" w:rsidRDefault="000E4357" w:rsidP="000E4357">
      <w:pPr>
        <w:pStyle w:val="Text"/>
      </w:pPr>
      <w:r>
        <w:t xml:space="preserve">It is important to note that any changes in bird abundance are likely to be the result of multiple stressors both off and on-site. Off-site impacts that may contribute to decline are the quality and availability of habitat in other nations along the Australasian Flyway as well as the condition of </w:t>
      </w:r>
      <w:smartTag w:uri="urn:schemas-microsoft-com:office:smarttags" w:element="place">
        <w:smartTag w:uri="urn:schemas-microsoft-com:office:smarttags" w:element="country-region">
          <w:r>
            <w:t>Australia</w:t>
          </w:r>
        </w:smartTag>
      </w:smartTag>
      <w:r>
        <w:t xml:space="preserve">’s inland wetland habitats (refer recent article on declines in waterbird presence as part of a long term survey by Nebel </w:t>
      </w:r>
      <w:r w:rsidRPr="00276823">
        <w:rPr>
          <w:i/>
        </w:rPr>
        <w:t>et al</w:t>
      </w:r>
      <w:r>
        <w:t xml:space="preserve">. 2008). On-site impacts may include habitat loss and modification, and increases in frequency of disturbance are also likely contributing factors. </w:t>
      </w:r>
    </w:p>
    <w:p w:rsidR="000E4357" w:rsidRPr="00D643FB" w:rsidRDefault="000E4357" w:rsidP="000E4357">
      <w:pPr>
        <w:pStyle w:val="Text"/>
        <w:rPr>
          <w:b/>
        </w:rPr>
      </w:pPr>
      <w:r>
        <w:rPr>
          <w:b/>
        </w:rPr>
        <w:t>Loss of M</w:t>
      </w:r>
      <w:r w:rsidRPr="00D643FB">
        <w:rPr>
          <w:b/>
        </w:rPr>
        <w:t>angroves</w:t>
      </w:r>
      <w:r>
        <w:rPr>
          <w:b/>
        </w:rPr>
        <w:t xml:space="preserve"> and Saltmarsh</w:t>
      </w:r>
    </w:p>
    <w:p w:rsidR="000E4357" w:rsidRDefault="000E4357" w:rsidP="000E4357">
      <w:pPr>
        <w:pStyle w:val="Text"/>
      </w:pPr>
      <w:r>
        <w:t>F</w:t>
      </w:r>
      <w:r w:rsidRPr="000E5469">
        <w:t xml:space="preserve">armers </w:t>
      </w:r>
      <w:r>
        <w:t xml:space="preserve">undertook extensive </w:t>
      </w:r>
      <w:r w:rsidRPr="000E5469">
        <w:t>clear</w:t>
      </w:r>
      <w:r>
        <w:t>ing</w:t>
      </w:r>
      <w:r w:rsidRPr="000E5469">
        <w:t xml:space="preserve"> and drain</w:t>
      </w:r>
      <w:r>
        <w:t>ing</w:t>
      </w:r>
      <w:r w:rsidRPr="000E5469">
        <w:t xml:space="preserve"> </w:t>
      </w:r>
      <w:r>
        <w:t xml:space="preserve">of </w:t>
      </w:r>
      <w:r w:rsidRPr="000E5469">
        <w:t xml:space="preserve">lowland coastal fringe </w:t>
      </w:r>
      <w:r>
        <w:t xml:space="preserve">habitats </w:t>
      </w:r>
      <w:r w:rsidRPr="000E5469">
        <w:t>around the inlet</w:t>
      </w:r>
      <w:r>
        <w:t xml:space="preserve"> in the first half of the twentieth century, resulting in loss and fragmentation of intertidal habitats (Glowrey 2009). </w:t>
      </w:r>
      <w:r w:rsidRPr="0057407A">
        <w:t xml:space="preserve">Denis (1994) </w:t>
      </w:r>
      <w:r>
        <w:t xml:space="preserve">examined more contemporary changes within the site, finding </w:t>
      </w:r>
      <w:r w:rsidRPr="0057407A">
        <w:t xml:space="preserve">that changes in </w:t>
      </w:r>
      <w:r>
        <w:t xml:space="preserve">mangrove </w:t>
      </w:r>
      <w:r w:rsidRPr="0057407A">
        <w:t>coverage varied from 1941 to 1987</w:t>
      </w:r>
      <w:r>
        <w:t xml:space="preserve">. </w:t>
      </w:r>
      <w:r w:rsidRPr="0057407A">
        <w:t xml:space="preserve">Some areas </w:t>
      </w:r>
      <w:r>
        <w:t xml:space="preserve">such as Millers Landing exhibited minor </w:t>
      </w:r>
      <w:r w:rsidRPr="0057407A">
        <w:t>change</w:t>
      </w:r>
      <w:r>
        <w:t xml:space="preserve">, </w:t>
      </w:r>
      <w:r w:rsidRPr="0057407A">
        <w:t xml:space="preserve">while other areas such as </w:t>
      </w:r>
      <w:smartTag w:uri="urn:schemas-microsoft-com:office:smarttags" w:element="place">
        <w:r w:rsidRPr="0057407A">
          <w:t>Long Island</w:t>
        </w:r>
      </w:smartTag>
      <w:r w:rsidRPr="0057407A">
        <w:t xml:space="preserve"> experienced loss of mangroves</w:t>
      </w:r>
      <w:r>
        <w:t>,</w:t>
      </w:r>
      <w:r w:rsidRPr="0057407A">
        <w:t xml:space="preserve"> </w:t>
      </w:r>
      <w:r>
        <w:t xml:space="preserve">and </w:t>
      </w:r>
      <w:r w:rsidRPr="0057407A">
        <w:t>areas such as Port Welshpool and Toora experienced mangrove expansion</w:t>
      </w:r>
      <w:r>
        <w:t xml:space="preserve">. Based on EVC </w:t>
      </w:r>
      <w:r>
        <w:lastRenderedPageBreak/>
        <w:t xml:space="preserve">mapping, it is estimated that mangrove extent has declined by approximately 235 hectares within the site between 1750 and 2005, and that saltmarsh extent has declined by approximately 282 hectares within the site between 1750 and 2005, representing a loss of approximately 10 per cent for each of these habitat types. The extent of change that may have occurred since time of listing is unknown, and therefore it is uncertain whether a change in ecological character has been experienced. Baseline studies are required to assess mangrove distribution and monitor future changes in extent. </w:t>
      </w:r>
    </w:p>
    <w:p w:rsidR="000E4357" w:rsidRDefault="000E4357" w:rsidP="000E4357">
      <w:pPr>
        <w:pStyle w:val="Text"/>
        <w:rPr>
          <w:b/>
        </w:rPr>
      </w:pPr>
      <w:r w:rsidRPr="00077550">
        <w:rPr>
          <w:b/>
        </w:rPr>
        <w:t xml:space="preserve">Water </w:t>
      </w:r>
      <w:r>
        <w:rPr>
          <w:b/>
        </w:rPr>
        <w:t>Q</w:t>
      </w:r>
      <w:r w:rsidRPr="00077550">
        <w:rPr>
          <w:b/>
        </w:rPr>
        <w:t>uality in North West Corner Inlet</w:t>
      </w:r>
    </w:p>
    <w:p w:rsidR="000E4357" w:rsidRPr="009633D8" w:rsidRDefault="000E4357" w:rsidP="000E4357">
      <w:pPr>
        <w:pStyle w:val="Text"/>
      </w:pPr>
      <w:r w:rsidRPr="009633D8">
        <w:t>There are limited water quality data from the time of listing (1982), although more recent data are available</w:t>
      </w:r>
      <w:r>
        <w:t xml:space="preserve">. </w:t>
      </w:r>
      <w:r w:rsidRPr="009633D8">
        <w:t>The Waterwatch program and other awareness campaigns by the CMA, EPA and others, along with improvements to sewerage systems, have improved catchment management practices since 1982 (</w:t>
      </w:r>
      <w:r>
        <w:t>Ecos unpublished</w:t>
      </w:r>
      <w:r w:rsidRPr="009633D8">
        <w:t>)</w:t>
      </w:r>
      <w:r>
        <w:t xml:space="preserve">. </w:t>
      </w:r>
      <w:r w:rsidRPr="009633D8">
        <w:t xml:space="preserve">However, </w:t>
      </w:r>
      <w:r>
        <w:t>Ecos (unpublished)</w:t>
      </w:r>
      <w:r w:rsidRPr="009633D8">
        <w:t xml:space="preserve"> notes that ongoing development, recreational and commercial pressure on the waterways in the catchment could potentially have offset some of these catchment management improvements.</w:t>
      </w:r>
    </w:p>
    <w:p w:rsidR="000E4357" w:rsidRDefault="000E4357" w:rsidP="000E4357">
      <w:pPr>
        <w:pStyle w:val="Text"/>
      </w:pPr>
      <w:r w:rsidRPr="009633D8">
        <w:t>In the absence of long-term monitoring data it is not possible to determine whether there has been a change in water quality since listing</w:t>
      </w:r>
      <w:r>
        <w:t xml:space="preserve">. </w:t>
      </w:r>
      <w:r w:rsidRPr="009633D8">
        <w:t>The most notable line of evidence to suggest that there ha</w:t>
      </w:r>
      <w:r>
        <w:t xml:space="preserve">s been contemporary, long-term change in water quality outside the range of natural variability is the reported loss of </w:t>
      </w:r>
      <w:r w:rsidRPr="008372B4">
        <w:rPr>
          <w:i/>
        </w:rPr>
        <w:t>Posidonia</w:t>
      </w:r>
      <w:r>
        <w:t xml:space="preserve"> seagrass beds in northwest Corner Inlet in recent times (see discussion above). As </w:t>
      </w:r>
      <w:r w:rsidRPr="008372B4">
        <w:rPr>
          <w:i/>
        </w:rPr>
        <w:t>Posidonia</w:t>
      </w:r>
      <w:r>
        <w:t xml:space="preserve"> can take decades to recover from disturbance, the loss in seagrass is expected to be symptomatic of contemporary water quality change (that is, nutrients and turbidity) that is outside the range of natural variation. There is a clear need to collect additional water quality data to assess trends over time and space, and potential linkages to anthropogenic disturbances (see Sections </w:t>
      </w:r>
      <w:r w:rsidR="00092695">
        <w:fldChar w:fldCharType="begin"/>
      </w:r>
      <w:r>
        <w:instrText xml:space="preserve"> REF _Ref234997687 \r \h </w:instrText>
      </w:r>
      <w:r w:rsidR="00092695">
        <w:fldChar w:fldCharType="separate"/>
      </w:r>
      <w:r>
        <w:t>6.1</w:t>
      </w:r>
      <w:r w:rsidR="00092695">
        <w:fldChar w:fldCharType="end"/>
      </w:r>
      <w:r>
        <w:t xml:space="preserve"> and </w:t>
      </w:r>
      <w:r w:rsidR="00092695">
        <w:fldChar w:fldCharType="begin"/>
      </w:r>
      <w:r>
        <w:instrText xml:space="preserve"> REF _Ref234997667 \r \h </w:instrText>
      </w:r>
      <w:r w:rsidR="00092695">
        <w:fldChar w:fldCharType="separate"/>
      </w:r>
      <w:r>
        <w:t>6.2</w:t>
      </w:r>
      <w:r w:rsidR="00092695">
        <w:fldChar w:fldCharType="end"/>
      </w:r>
      <w:r>
        <w:t xml:space="preserve">). </w:t>
      </w:r>
    </w:p>
    <w:p w:rsidR="000E4357" w:rsidRPr="005E665B" w:rsidRDefault="000E4357" w:rsidP="000E4357">
      <w:pPr>
        <w:pStyle w:val="Text"/>
        <w:rPr>
          <w:b/>
        </w:rPr>
      </w:pPr>
      <w:r>
        <w:rPr>
          <w:b/>
        </w:rPr>
        <w:t>Commercial Fish C</w:t>
      </w:r>
      <w:r w:rsidRPr="005E665B">
        <w:rPr>
          <w:b/>
        </w:rPr>
        <w:t>atches</w:t>
      </w:r>
    </w:p>
    <w:p w:rsidR="000E4357" w:rsidRPr="009A0F70" w:rsidRDefault="000E4357" w:rsidP="000E4357">
      <w:pPr>
        <w:pStyle w:val="Text"/>
      </w:pPr>
      <w:r>
        <w:t>T</w:t>
      </w:r>
      <w:r w:rsidRPr="009A0F70">
        <w:t xml:space="preserve">he commercial catch data presented in </w:t>
      </w:r>
      <w:fldSimple w:instr=" REF _Ref235611004 \h  \* MERGEFORMAT ">
        <w:r w:rsidRPr="00F77035">
          <w:t xml:space="preserve">Figure </w:t>
        </w:r>
        <w:r>
          <w:t>3</w:t>
        </w:r>
        <w:r>
          <w:noBreakHyphen/>
          <w:t>9</w:t>
        </w:r>
      </w:fldSimple>
      <w:r>
        <w:t xml:space="preserve"> and Table 3-9 </w:t>
      </w:r>
      <w:r w:rsidRPr="009A0F70">
        <w:t>show</w:t>
      </w:r>
      <w:r>
        <w:t xml:space="preserve"> the following trends</w:t>
      </w:r>
      <w:r w:rsidRPr="009A0F70">
        <w:t>:</w:t>
      </w:r>
    </w:p>
    <w:p w:rsidR="000E4357" w:rsidRPr="009A0F70" w:rsidRDefault="000E4357" w:rsidP="000E4357">
      <w:pPr>
        <w:pStyle w:val="Bullets"/>
      </w:pPr>
      <w:r w:rsidRPr="009A0F70">
        <w:t xml:space="preserve">There was a decline in catch of two key species </w:t>
      </w:r>
      <w:r>
        <w:t>over time</w:t>
      </w:r>
      <w:r w:rsidRPr="009A0F70">
        <w:t xml:space="preserve">: </w:t>
      </w:r>
      <w:r>
        <w:t xml:space="preserve">Australian salmon </w:t>
      </w:r>
      <w:r w:rsidRPr="007F51F0">
        <w:t>(</w:t>
      </w:r>
      <w:r w:rsidRPr="009E42D2">
        <w:rPr>
          <w:i/>
        </w:rPr>
        <w:t>Arripis</w:t>
      </w:r>
      <w:r w:rsidRPr="009E42D2">
        <w:t xml:space="preserve"> </w:t>
      </w:r>
      <w:r w:rsidRPr="007F51F0">
        <w:t>spp.)</w:t>
      </w:r>
      <w:r>
        <w:t xml:space="preserve"> and yellow-eye m</w:t>
      </w:r>
      <w:r w:rsidRPr="009A0F70">
        <w:t>ullet</w:t>
      </w:r>
      <w:r>
        <w:t xml:space="preserve"> </w:t>
      </w:r>
      <w:r w:rsidRPr="007F51F0">
        <w:t>(</w:t>
      </w:r>
      <w:r w:rsidRPr="009E42D2">
        <w:rPr>
          <w:i/>
        </w:rPr>
        <w:t>Aldrichetta forsteri</w:t>
      </w:r>
      <w:r w:rsidRPr="007F51F0">
        <w:t>)</w:t>
      </w:r>
      <w:r>
        <w:t xml:space="preserve">. </w:t>
      </w:r>
      <w:r w:rsidRPr="009A0F70">
        <w:t>In the years leading up to site declaration (</w:t>
      </w:r>
      <w:r>
        <w:t>1978–</w:t>
      </w:r>
      <w:r w:rsidRPr="009A0F70">
        <w:t xml:space="preserve">83), </w:t>
      </w:r>
      <w:r>
        <w:t>Australian salmon</w:t>
      </w:r>
      <w:r w:rsidRPr="009A0F70">
        <w:t xml:space="preserve"> tended to dominate catches, but </w:t>
      </w:r>
      <w:r>
        <w:t>declined markedly in 1985–86, and is now ranked ninth</w:t>
      </w:r>
      <w:r w:rsidRPr="009A0F70">
        <w:t xml:space="preserve"> in terms of </w:t>
      </w:r>
      <w:r>
        <w:t>total catch. Similarly, yellow-eye m</w:t>
      </w:r>
      <w:r w:rsidRPr="009A0F70">
        <w:t xml:space="preserve">ullet, which represented the </w:t>
      </w:r>
      <w:r>
        <w:t>third to fourth most abundant species in 1980 to 19</w:t>
      </w:r>
      <w:r w:rsidRPr="009A0F70">
        <w:t xml:space="preserve">83, is </w:t>
      </w:r>
      <w:r>
        <w:t>presented ranked eighth</w:t>
      </w:r>
      <w:r w:rsidRPr="009A0F70">
        <w:t xml:space="preserve"> in terms of total catch</w:t>
      </w:r>
      <w:r>
        <w:t>. Yellow-eye mullet catches prior to 1999-2000 were with only three exceptions (1978–79, 1983–84, 1993–94) greater than 17 tonnes, but in the eight years since this time, catch ranged from eight to 16 tonnes. Green-back flounder (</w:t>
      </w:r>
      <w:r w:rsidRPr="009E42D2">
        <w:rPr>
          <w:i/>
        </w:rPr>
        <w:t>Rhombosolea tapirina</w:t>
      </w:r>
      <w:r>
        <w:t>) catches also appear to have declined over time, with the twentieth percentile pre-1982 catch less than the median post-1982 catch</w:t>
      </w:r>
    </w:p>
    <w:p w:rsidR="000E4357" w:rsidRDefault="000E4357" w:rsidP="000E4357">
      <w:pPr>
        <w:pStyle w:val="Bullets"/>
      </w:pPr>
      <w:r>
        <w:t xml:space="preserve">Southern garfish </w:t>
      </w:r>
      <w:r w:rsidRPr="007F51F0">
        <w:t>(</w:t>
      </w:r>
      <w:r w:rsidRPr="009E42D2">
        <w:rPr>
          <w:i/>
        </w:rPr>
        <w:t>Hyporhamphus melanochir</w:t>
      </w:r>
      <w:r w:rsidRPr="009E42D2">
        <w:t xml:space="preserve">) </w:t>
      </w:r>
      <w:r>
        <w:t>and King George w</w:t>
      </w:r>
      <w:r w:rsidRPr="009A0F70">
        <w:t xml:space="preserve">hiting </w:t>
      </w:r>
      <w:r w:rsidRPr="007F51F0">
        <w:t>(</w:t>
      </w:r>
      <w:r w:rsidRPr="009E42D2">
        <w:rPr>
          <w:i/>
        </w:rPr>
        <w:t>Sillaginodes punctatus</w:t>
      </w:r>
      <w:r w:rsidRPr="007F51F0">
        <w:t>)</w:t>
      </w:r>
      <w:r>
        <w:t xml:space="preserve"> </w:t>
      </w:r>
      <w:r w:rsidRPr="009A0F70">
        <w:t xml:space="preserve">were ranked </w:t>
      </w:r>
      <w:r>
        <w:t>second and third respectively</w:t>
      </w:r>
      <w:r w:rsidRPr="009A0F70">
        <w:t xml:space="preserve"> in terms of catch in </w:t>
      </w:r>
      <w:r>
        <w:t>1978–</w:t>
      </w:r>
      <w:r w:rsidRPr="009A0F70">
        <w:t>83, but now dominate catches</w:t>
      </w:r>
      <w:r>
        <w:t xml:space="preserve">. </w:t>
      </w:r>
      <w:r w:rsidRPr="009A0F70">
        <w:t xml:space="preserve">These two species had a total catch that was within the range or </w:t>
      </w:r>
      <w:r>
        <w:t>greater than the</w:t>
      </w:r>
      <w:r w:rsidRPr="009A0F70">
        <w:t xml:space="preserve"> </w:t>
      </w:r>
      <w:r>
        <w:t>post-Ramsar listing catch</w:t>
      </w:r>
    </w:p>
    <w:p w:rsidR="000E4357" w:rsidRDefault="000E4357" w:rsidP="000E4357">
      <w:pPr>
        <w:pStyle w:val="Bullets"/>
      </w:pPr>
      <w:r w:rsidRPr="009A0F70">
        <w:lastRenderedPageBreak/>
        <w:t xml:space="preserve">The catch of most other species was generally higher in </w:t>
      </w:r>
      <w:r>
        <w:t>post 1982 than pre–1982</w:t>
      </w:r>
      <w:r w:rsidRPr="009A0F70">
        <w:t>. This</w:t>
      </w:r>
      <w:r>
        <w:t xml:space="preserve"> was particularly the case for s</w:t>
      </w:r>
      <w:r w:rsidRPr="009A0F70">
        <w:t xml:space="preserve">outhern </w:t>
      </w:r>
      <w:r>
        <w:t>c</w:t>
      </w:r>
      <w:r w:rsidRPr="009A0F70">
        <w:t>alamari</w:t>
      </w:r>
      <w:r>
        <w:t xml:space="preserve"> </w:t>
      </w:r>
      <w:r w:rsidRPr="00EF65DA">
        <w:t>(</w:t>
      </w:r>
      <w:r w:rsidRPr="009E42D2">
        <w:rPr>
          <w:i/>
        </w:rPr>
        <w:t>Sepioteuthis australis</w:t>
      </w:r>
      <w:r w:rsidRPr="00EF65DA">
        <w:t>)</w:t>
      </w:r>
      <w:r>
        <w:t xml:space="preserve"> and rock f</w:t>
      </w:r>
      <w:r w:rsidRPr="009A0F70">
        <w:t>lathead</w:t>
      </w:r>
      <w:r>
        <w:t xml:space="preserve"> (</w:t>
      </w:r>
      <w:r w:rsidRPr="009E42D2">
        <w:rPr>
          <w:i/>
        </w:rPr>
        <w:t>Platycephalus laevigatus</w:t>
      </w:r>
      <w:r>
        <w:t>)</w:t>
      </w:r>
      <w:r w:rsidRPr="009A0F70">
        <w:t>.</w:t>
      </w:r>
    </w:p>
    <w:p w:rsidR="000E4357" w:rsidRDefault="000E4357" w:rsidP="000E4357">
      <w:pPr>
        <w:pStyle w:val="Text"/>
      </w:pPr>
      <w:r>
        <w:t>The</w:t>
      </w:r>
      <w:r w:rsidRPr="009A0F70">
        <w:t xml:space="preserve"> differences </w:t>
      </w:r>
      <w:r>
        <w:t xml:space="preserve">in catch over time </w:t>
      </w:r>
      <w:r w:rsidRPr="009A0F70">
        <w:t>could relate to either changes in fishing effort, or changes in actual abundance of these species</w:t>
      </w:r>
      <w:r>
        <w:t xml:space="preserve">. In </w:t>
      </w:r>
      <w:r w:rsidR="00092695">
        <w:fldChar w:fldCharType="begin"/>
      </w:r>
      <w:r>
        <w:instrText xml:space="preserve"> REF _Ref244059685 \h </w:instrText>
      </w:r>
      <w:r w:rsidR="00092695">
        <w:fldChar w:fldCharType="separate"/>
      </w:r>
      <w:r>
        <w:t xml:space="preserve">Table </w:t>
      </w:r>
      <w:r>
        <w:rPr>
          <w:noProof/>
        </w:rPr>
        <w:t>3</w:t>
      </w:r>
      <w:r>
        <w:noBreakHyphen/>
      </w:r>
      <w:r>
        <w:rPr>
          <w:noProof/>
        </w:rPr>
        <w:t>8</w:t>
      </w:r>
      <w:r w:rsidR="00092695">
        <w:fldChar w:fldCharType="end"/>
      </w:r>
      <w:r>
        <w:t>, catch per unit effort was calculated to determine possible influence of effort of catch. Notwithstanding the limitations of effort-based data, these results again indicate that there was a decline in Australian salmon and flounder catches. However, median yellow-eye mullet catches was similar before and after site listing, indicating that changes in catches were effort driven.</w:t>
      </w:r>
    </w:p>
    <w:p w:rsidR="000E4357" w:rsidRPr="009A0F70" w:rsidRDefault="000E4357" w:rsidP="000E4357">
      <w:pPr>
        <w:pStyle w:val="Text"/>
      </w:pPr>
      <w:r w:rsidRPr="009A0F70">
        <w:t xml:space="preserve">There is no </w:t>
      </w:r>
      <w:r>
        <w:t xml:space="preserve">empirical </w:t>
      </w:r>
      <w:r w:rsidRPr="009A0F70">
        <w:t xml:space="preserve">evidence to suggest that </w:t>
      </w:r>
      <w:r>
        <w:t>Australian salmon</w:t>
      </w:r>
      <w:r w:rsidRPr="009A0F70">
        <w:t xml:space="preserve"> stocks </w:t>
      </w:r>
      <w:r>
        <w:t xml:space="preserve">in Australia </w:t>
      </w:r>
      <w:r w:rsidRPr="009A0F70">
        <w:t>are diminishing</w:t>
      </w:r>
      <w:r>
        <w:t>, although the fishery is considered to be fully exploited (NSW Industry and Development 2010). Australian salmon is</w:t>
      </w:r>
      <w:r w:rsidRPr="009A0F70">
        <w:t xml:space="preserve"> a wide ranging species that does not rely on habitats that are in decline (</w:t>
      </w:r>
      <w:r>
        <w:t>for example,</w:t>
      </w:r>
      <w:r w:rsidRPr="009A0F70">
        <w:t xml:space="preserve"> seagrass), </w:t>
      </w:r>
      <w:r>
        <w:t xml:space="preserve">and elsewhere stocks are thought to be secure. At the other three locations where this species is harvested in Victoria, catches show either no clear trend (for example, Port Phillip Bay), an increase (Gippsland Lakes) and decline (Western Port Bay) (DPI 2008). </w:t>
      </w:r>
      <w:r w:rsidRPr="009A0F70">
        <w:t xml:space="preserve">The main commercial use </w:t>
      </w:r>
      <w:r>
        <w:t>of this species is as bait for R</w:t>
      </w:r>
      <w:r w:rsidRPr="009A0F70">
        <w:t xml:space="preserve">ock </w:t>
      </w:r>
      <w:r>
        <w:t>L</w:t>
      </w:r>
      <w:r w:rsidRPr="009A0F70">
        <w:t>obster fishery, which itself has been subject to significant regulatory changes post</w:t>
      </w:r>
      <w:r>
        <w:t>–</w:t>
      </w:r>
      <w:r w:rsidRPr="009A0F70">
        <w:t>2001</w:t>
      </w:r>
      <w:r>
        <w:t xml:space="preserve">. </w:t>
      </w:r>
      <w:r w:rsidRPr="009A0F70">
        <w:t xml:space="preserve">The change in catch of </w:t>
      </w:r>
      <w:r>
        <w:t>Australian salmon</w:t>
      </w:r>
      <w:r w:rsidRPr="009A0F70">
        <w:t xml:space="preserve"> may be in response to these changes in fisheries regulations</w:t>
      </w:r>
      <w:r>
        <w:t>, or changes in other market sectors</w:t>
      </w:r>
      <w:r w:rsidRPr="009A0F70">
        <w:t>.</w:t>
      </w:r>
    </w:p>
    <w:p w:rsidR="000E4357" w:rsidRPr="0091183D" w:rsidRDefault="000E4357" w:rsidP="000E4357">
      <w:pPr>
        <w:pStyle w:val="Text"/>
      </w:pPr>
      <w:r>
        <w:t>In the context of school sharks (</w:t>
      </w:r>
      <w:r w:rsidRPr="00DD6C28">
        <w:rPr>
          <w:i/>
        </w:rPr>
        <w:t>Galeorhinus galeus</w:t>
      </w:r>
      <w:r>
        <w:t xml:space="preserve">), there is very little available information on their population status within the site. As discussed in Section </w:t>
      </w:r>
      <w:r w:rsidR="00092695">
        <w:fldChar w:fldCharType="begin"/>
      </w:r>
      <w:r>
        <w:instrText xml:space="preserve"> REF _Ref235610710 \r \h </w:instrText>
      </w:r>
      <w:r w:rsidR="00092695">
        <w:fldChar w:fldCharType="separate"/>
      </w:r>
      <w:r>
        <w:t>5.1.5</w:t>
      </w:r>
      <w:r w:rsidR="00092695">
        <w:fldChar w:fldCharType="end"/>
      </w:r>
      <w:r>
        <w:t xml:space="preserve">, it is thought that building of seawalls in the 1920s resulted in isolation and fragmentation of pupping habitat, to the extent that shark numbers in Corner Inlet have markedly declined. All </w:t>
      </w:r>
      <w:r w:rsidRPr="0091183D">
        <w:t>Victorian coastal waters are cl</w:t>
      </w:r>
      <w:r>
        <w:t xml:space="preserve">osed to targeted shark fishing (AFMA 2009), however any sharks incidentally captured are sold to market. </w:t>
      </w:r>
      <w:r w:rsidR="00092695">
        <w:fldChar w:fldCharType="begin"/>
      </w:r>
      <w:r>
        <w:instrText xml:space="preserve"> REF _Ref235611004 \h </w:instrText>
      </w:r>
      <w:r w:rsidR="00092695">
        <w:fldChar w:fldCharType="separate"/>
      </w:r>
      <w:r w:rsidRPr="00F77035">
        <w:t xml:space="preserve">Figure </w:t>
      </w:r>
      <w:r>
        <w:rPr>
          <w:noProof/>
        </w:rPr>
        <w:t>3</w:t>
      </w:r>
      <w:r>
        <w:noBreakHyphen/>
      </w:r>
      <w:r>
        <w:rPr>
          <w:noProof/>
        </w:rPr>
        <w:t>9</w:t>
      </w:r>
      <w:r w:rsidR="00092695">
        <w:fldChar w:fldCharType="end"/>
      </w:r>
      <w:r>
        <w:t xml:space="preserve"> shows that shark catches within the site have been variable over time, but show no clear trend between 1978 and 2008. </w:t>
      </w:r>
    </w:p>
    <w:p w:rsidR="000E4357" w:rsidRDefault="000E4357" w:rsidP="000E4357">
      <w:pPr>
        <w:pStyle w:val="Heading3"/>
        <w:ind w:left="851" w:hanging="851"/>
      </w:pPr>
      <w:bookmarkStart w:id="26" w:name="_Toc295374242"/>
      <w:r>
        <w:t>Comparison to Limits of Acceptable Change</w:t>
      </w:r>
      <w:bookmarkEnd w:id="26"/>
    </w:p>
    <w:p w:rsidR="000E4357" w:rsidRDefault="000E4357" w:rsidP="000E4357">
      <w:pPr>
        <w:pStyle w:val="Text"/>
      </w:pPr>
      <w:r>
        <w:t xml:space="preserve">Table 5-2 provides a summary of changes in ecological character, as described by LACs, since nomination. Comment is also provided on trends in LAC pre-listing in order to determine whether changes are a consequence of longer-term or contemporary impacting processes. Changes are subjectively ranked as likely or unlikely based on professional opinion or in some instances empirical data. </w:t>
      </w:r>
    </w:p>
    <w:p w:rsidR="000E4357" w:rsidRDefault="000E4357" w:rsidP="000E4357">
      <w:pPr>
        <w:pStyle w:val="Caption"/>
      </w:pPr>
      <w:bookmarkStart w:id="27" w:name="_Ref236736081"/>
      <w:bookmarkStart w:id="28" w:name="_Toc295374289"/>
      <w:r>
        <w:t xml:space="preserve">Table </w:t>
      </w:r>
      <w:fldSimple w:instr=" STYLEREF 1 \s ">
        <w:r>
          <w:rPr>
            <w:noProof/>
          </w:rPr>
          <w:t>5</w:t>
        </w:r>
      </w:fldSimple>
      <w:r>
        <w:noBreakHyphen/>
      </w:r>
      <w:fldSimple w:instr=" SEQ Table \* ARABIC \s 1 ">
        <w:r>
          <w:rPr>
            <w:noProof/>
          </w:rPr>
          <w:t>2</w:t>
        </w:r>
      </w:fldSimple>
      <w:bookmarkEnd w:id="27"/>
      <w:r>
        <w:t xml:space="preserve"> </w:t>
      </w:r>
      <w:r>
        <w:tab/>
        <w:t>Comparison of LACs to Observed Trends Post-Ramsar Listing</w:t>
      </w:r>
      <w:bookmarkEnd w:id="28"/>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
        <w:gridCol w:w="3073"/>
        <w:gridCol w:w="2515"/>
        <w:gridCol w:w="3072"/>
      </w:tblGrid>
      <w:tr w:rsidR="000E4357" w:rsidRPr="009A0F70" w:rsidTr="000F1040">
        <w:trPr>
          <w:tblHeader/>
        </w:trPr>
        <w:tc>
          <w:tcPr>
            <w:tcW w:w="492" w:type="pct"/>
            <w:shd w:val="clear" w:color="auto" w:fill="E0E0E0"/>
          </w:tcPr>
          <w:p w:rsidR="000E4357" w:rsidRPr="00055476" w:rsidRDefault="000E4357" w:rsidP="000F1040">
            <w:pPr>
              <w:pStyle w:val="Text"/>
              <w:spacing w:before="0" w:line="240" w:lineRule="auto"/>
              <w:ind w:left="0"/>
              <w:jc w:val="center"/>
              <w:rPr>
                <w:b/>
                <w:bCs/>
                <w:sz w:val="18"/>
                <w:szCs w:val="18"/>
              </w:rPr>
            </w:pPr>
            <w:r>
              <w:rPr>
                <w:b/>
                <w:bCs/>
                <w:sz w:val="18"/>
                <w:szCs w:val="18"/>
              </w:rPr>
              <w:t>Critical C/P/S</w:t>
            </w:r>
          </w:p>
        </w:tc>
        <w:tc>
          <w:tcPr>
            <w:tcW w:w="1599" w:type="pct"/>
            <w:shd w:val="clear" w:color="auto" w:fill="E0E0E0"/>
          </w:tcPr>
          <w:p w:rsidR="000E4357" w:rsidRPr="00452029" w:rsidRDefault="000E4357" w:rsidP="000F1040">
            <w:pPr>
              <w:pStyle w:val="Text"/>
              <w:spacing w:before="0" w:line="240" w:lineRule="auto"/>
              <w:ind w:left="0"/>
              <w:jc w:val="center"/>
              <w:rPr>
                <w:b/>
                <w:bCs/>
                <w:sz w:val="18"/>
                <w:szCs w:val="18"/>
              </w:rPr>
            </w:pPr>
            <w:r w:rsidRPr="00452029">
              <w:rPr>
                <w:b/>
                <w:bCs/>
                <w:sz w:val="18"/>
                <w:szCs w:val="18"/>
              </w:rPr>
              <w:t>Limits of acceptable change</w:t>
            </w:r>
          </w:p>
        </w:tc>
        <w:tc>
          <w:tcPr>
            <w:tcW w:w="1309" w:type="pct"/>
            <w:shd w:val="clear" w:color="auto" w:fill="E0E0E0"/>
          </w:tcPr>
          <w:p w:rsidR="000E4357" w:rsidRPr="00055476" w:rsidRDefault="000E4357" w:rsidP="000F1040">
            <w:pPr>
              <w:pStyle w:val="Text"/>
              <w:spacing w:before="0" w:line="240" w:lineRule="auto"/>
              <w:ind w:left="0"/>
              <w:jc w:val="center"/>
              <w:rPr>
                <w:b/>
                <w:bCs/>
                <w:sz w:val="18"/>
                <w:szCs w:val="18"/>
              </w:rPr>
            </w:pPr>
            <w:r>
              <w:rPr>
                <w:b/>
                <w:bCs/>
                <w:sz w:val="18"/>
                <w:szCs w:val="18"/>
              </w:rPr>
              <w:t>Pre–</w:t>
            </w:r>
            <w:r w:rsidRPr="00055476">
              <w:rPr>
                <w:b/>
                <w:bCs/>
                <w:sz w:val="18"/>
                <w:szCs w:val="18"/>
              </w:rPr>
              <w:t>1982 trend</w:t>
            </w:r>
          </w:p>
        </w:tc>
        <w:tc>
          <w:tcPr>
            <w:tcW w:w="1599" w:type="pct"/>
            <w:shd w:val="clear" w:color="auto" w:fill="E0E0E0"/>
          </w:tcPr>
          <w:p w:rsidR="000E4357" w:rsidRPr="00055476" w:rsidRDefault="000E4357" w:rsidP="000F1040">
            <w:pPr>
              <w:pStyle w:val="Text"/>
              <w:spacing w:before="0" w:line="240" w:lineRule="auto"/>
              <w:ind w:left="0"/>
              <w:jc w:val="center"/>
              <w:rPr>
                <w:b/>
                <w:bCs/>
                <w:sz w:val="18"/>
                <w:szCs w:val="18"/>
              </w:rPr>
            </w:pPr>
            <w:r>
              <w:rPr>
                <w:b/>
                <w:bCs/>
                <w:sz w:val="18"/>
                <w:szCs w:val="18"/>
              </w:rPr>
              <w:t>Post–</w:t>
            </w:r>
            <w:r w:rsidRPr="00055476">
              <w:rPr>
                <w:b/>
                <w:bCs/>
                <w:sz w:val="18"/>
                <w:szCs w:val="18"/>
              </w:rPr>
              <w:t>1982 trend</w:t>
            </w:r>
          </w:p>
        </w:tc>
      </w:tr>
      <w:tr w:rsidR="000E4357" w:rsidRPr="009A0F70" w:rsidTr="000F1040">
        <w:trPr>
          <w:trHeight w:val="1449"/>
        </w:trPr>
        <w:tc>
          <w:tcPr>
            <w:tcW w:w="492" w:type="pct"/>
            <w:vMerge w:val="restart"/>
            <w:tcBorders>
              <w:top w:val="single" w:sz="4" w:space="0" w:color="auto"/>
              <w:left w:val="single" w:sz="4" w:space="0" w:color="auto"/>
              <w:right w:val="single" w:sz="4" w:space="0" w:color="auto"/>
            </w:tcBorders>
          </w:tcPr>
          <w:p w:rsidR="000E4357" w:rsidRPr="00055476" w:rsidRDefault="000E4357" w:rsidP="000F1040">
            <w:pPr>
              <w:pStyle w:val="Text"/>
              <w:spacing w:before="0" w:line="240" w:lineRule="auto"/>
              <w:ind w:left="0"/>
              <w:jc w:val="left"/>
              <w:rPr>
                <w:b/>
                <w:bCs/>
                <w:sz w:val="18"/>
                <w:szCs w:val="18"/>
              </w:rPr>
            </w:pPr>
            <w:r>
              <w:rPr>
                <w:b/>
                <w:sz w:val="18"/>
                <w:szCs w:val="18"/>
              </w:rPr>
              <w:t>C1</w:t>
            </w:r>
          </w:p>
        </w:tc>
        <w:tc>
          <w:tcPr>
            <w:tcW w:w="1599" w:type="pct"/>
            <w:tcBorders>
              <w:top w:val="single" w:sz="4" w:space="0" w:color="auto"/>
              <w:left w:val="single" w:sz="4" w:space="0" w:color="auto"/>
              <w:right w:val="single" w:sz="4" w:space="0" w:color="auto"/>
            </w:tcBorders>
            <w:shd w:val="clear" w:color="auto" w:fill="auto"/>
          </w:tcPr>
          <w:p w:rsidR="000E4357" w:rsidRPr="00452029" w:rsidRDefault="000E4357" w:rsidP="000F1040">
            <w:pPr>
              <w:pStyle w:val="Text"/>
              <w:spacing w:before="0" w:line="240" w:lineRule="auto"/>
              <w:ind w:left="0"/>
              <w:jc w:val="left"/>
              <w:rPr>
                <w:b/>
                <w:bCs/>
                <w:sz w:val="18"/>
                <w:szCs w:val="18"/>
              </w:rPr>
            </w:pPr>
            <w:r w:rsidRPr="00452029">
              <w:rPr>
                <w:b/>
                <w:bCs/>
                <w:sz w:val="18"/>
                <w:szCs w:val="18"/>
              </w:rPr>
              <w:t>Inlet waters</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A greater than 20 percent reduction in the extent of permanent saline wetland – intertidal flats (areas mapped by DSE = 40 479 hectares), observed on two sampling occasions within any decade, will represent a change in ecological character (LAC – mapped area less than 36 431 hectares).</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lastRenderedPageBreak/>
              <w:t xml:space="preserve">A greater than 20 percent reduction in the extent of subtidal channel (areas mapped by NLWRA = 16 349 hectares), observed on two sampling occasions within any decade, will represent a change in ecological character (LAC – mapped area less than 13 079 hectares).  </w:t>
            </w:r>
          </w:p>
        </w:tc>
        <w:tc>
          <w:tcPr>
            <w:tcW w:w="1309" w:type="pct"/>
            <w:tcBorders>
              <w:top w:val="single" w:sz="4" w:space="0" w:color="auto"/>
              <w:left w:val="single" w:sz="4" w:space="0" w:color="auto"/>
              <w:right w:val="single" w:sz="4" w:space="0" w:color="auto"/>
            </w:tcBorders>
          </w:tcPr>
          <w:p w:rsidR="000E4357" w:rsidRDefault="000E4357" w:rsidP="000F1040">
            <w:pPr>
              <w:pStyle w:val="Text"/>
              <w:spacing w:before="0" w:line="240" w:lineRule="auto"/>
              <w:ind w:left="0"/>
              <w:jc w:val="left"/>
              <w:rPr>
                <w:bCs/>
                <w:sz w:val="18"/>
                <w:szCs w:val="18"/>
              </w:rPr>
            </w:pPr>
          </w:p>
          <w:p w:rsidR="000E4357" w:rsidRPr="00055476" w:rsidRDefault="000E4357" w:rsidP="000F1040">
            <w:pPr>
              <w:pStyle w:val="Text"/>
              <w:spacing w:before="0" w:line="240" w:lineRule="auto"/>
              <w:ind w:left="0"/>
              <w:jc w:val="left"/>
              <w:rPr>
                <w:bCs/>
                <w:sz w:val="18"/>
                <w:szCs w:val="18"/>
              </w:rPr>
            </w:pPr>
            <w:r w:rsidRPr="00055476">
              <w:rPr>
                <w:bCs/>
                <w:sz w:val="18"/>
                <w:szCs w:val="18"/>
              </w:rPr>
              <w:t>No data to quantify changes</w:t>
            </w:r>
          </w:p>
          <w:p w:rsidR="000E4357" w:rsidRPr="00055476" w:rsidRDefault="000E4357" w:rsidP="000F1040">
            <w:pPr>
              <w:pStyle w:val="Text"/>
              <w:spacing w:before="0" w:line="240" w:lineRule="auto"/>
              <w:ind w:left="0"/>
              <w:jc w:val="left"/>
              <w:rPr>
                <w:bCs/>
                <w:sz w:val="18"/>
                <w:szCs w:val="18"/>
              </w:rPr>
            </w:pPr>
            <w:r w:rsidRPr="00055476">
              <w:rPr>
                <w:bCs/>
                <w:sz w:val="18"/>
                <w:szCs w:val="18"/>
              </w:rPr>
              <w:t>No large scale works (</w:t>
            </w:r>
            <w:r>
              <w:rPr>
                <w:bCs/>
                <w:sz w:val="18"/>
                <w:szCs w:val="18"/>
              </w:rPr>
              <w:t>for example,</w:t>
            </w:r>
            <w:r w:rsidRPr="00055476">
              <w:rPr>
                <w:bCs/>
                <w:sz w:val="18"/>
                <w:szCs w:val="18"/>
              </w:rPr>
              <w:t xml:space="preserve"> training wall construction, dredging, sand extraction) have been undertaken that would cause a major change to extent.</w:t>
            </w:r>
          </w:p>
        </w:tc>
        <w:tc>
          <w:tcPr>
            <w:tcW w:w="1599" w:type="pct"/>
            <w:tcBorders>
              <w:top w:val="single" w:sz="4" w:space="0" w:color="auto"/>
              <w:left w:val="single" w:sz="4" w:space="0" w:color="auto"/>
              <w:right w:val="single" w:sz="4" w:space="0" w:color="auto"/>
            </w:tcBorders>
          </w:tcPr>
          <w:p w:rsidR="000E4357" w:rsidRDefault="000E4357" w:rsidP="000F1040">
            <w:pPr>
              <w:pStyle w:val="Text"/>
              <w:spacing w:before="0" w:line="240" w:lineRule="auto"/>
              <w:ind w:left="0"/>
              <w:jc w:val="left"/>
              <w:rPr>
                <w:bCs/>
                <w:sz w:val="18"/>
                <w:szCs w:val="18"/>
              </w:rPr>
            </w:pPr>
            <w:r>
              <w:rPr>
                <w:bCs/>
                <w:sz w:val="18"/>
                <w:szCs w:val="18"/>
              </w:rPr>
              <w:t>Ecological Character Change unlikely. S</w:t>
            </w:r>
            <w:r w:rsidRPr="00055476">
              <w:rPr>
                <w:bCs/>
                <w:sz w:val="18"/>
                <w:szCs w:val="18"/>
              </w:rPr>
              <w:t>ee pre</w:t>
            </w:r>
            <w:r>
              <w:rPr>
                <w:bCs/>
                <w:sz w:val="18"/>
                <w:szCs w:val="18"/>
              </w:rPr>
              <w:t>–</w:t>
            </w:r>
            <w:r w:rsidRPr="00055476">
              <w:rPr>
                <w:bCs/>
                <w:sz w:val="18"/>
                <w:szCs w:val="18"/>
              </w:rPr>
              <w:t>1982</w:t>
            </w:r>
            <w:r>
              <w:rPr>
                <w:bCs/>
                <w:sz w:val="18"/>
                <w:szCs w:val="18"/>
              </w:rPr>
              <w:t>.</w:t>
            </w:r>
          </w:p>
          <w:p w:rsidR="000E4357" w:rsidRDefault="000E4357" w:rsidP="000F1040">
            <w:pPr>
              <w:pStyle w:val="Text"/>
              <w:spacing w:before="0" w:line="240" w:lineRule="auto"/>
              <w:ind w:left="0"/>
              <w:jc w:val="left"/>
              <w:rPr>
                <w:bCs/>
                <w:sz w:val="18"/>
                <w:szCs w:val="18"/>
              </w:rPr>
            </w:pPr>
          </w:p>
          <w:p w:rsidR="000E4357" w:rsidRPr="00055476" w:rsidRDefault="000E4357" w:rsidP="000F1040">
            <w:pPr>
              <w:pStyle w:val="Text"/>
              <w:spacing w:before="0" w:line="240" w:lineRule="auto"/>
              <w:ind w:left="0"/>
              <w:jc w:val="left"/>
              <w:rPr>
                <w:bCs/>
                <w:sz w:val="18"/>
                <w:szCs w:val="18"/>
              </w:rPr>
            </w:pPr>
          </w:p>
        </w:tc>
      </w:tr>
      <w:tr w:rsidR="000E4357" w:rsidRPr="009A0F70" w:rsidTr="000F1040">
        <w:trPr>
          <w:trHeight w:val="702"/>
        </w:trPr>
        <w:tc>
          <w:tcPr>
            <w:tcW w:w="492" w:type="pct"/>
            <w:vMerge/>
            <w:tcBorders>
              <w:left w:val="single" w:sz="4" w:space="0" w:color="auto"/>
              <w:right w:val="single" w:sz="4" w:space="0" w:color="auto"/>
            </w:tcBorders>
          </w:tcPr>
          <w:p w:rsidR="000E4357" w:rsidRPr="00055476" w:rsidRDefault="000E4357" w:rsidP="000F1040">
            <w:pPr>
              <w:pStyle w:val="Text"/>
              <w:spacing w:before="0" w:line="240" w:lineRule="auto"/>
              <w:ind w:left="0"/>
              <w:jc w:val="left"/>
              <w:rPr>
                <w:b/>
                <w:sz w:val="18"/>
                <w:szCs w:val="18"/>
              </w:rPr>
            </w:pPr>
          </w:p>
        </w:tc>
        <w:tc>
          <w:tcPr>
            <w:tcW w:w="1599" w:type="pct"/>
            <w:tcBorders>
              <w:left w:val="single" w:sz="4" w:space="0" w:color="auto"/>
              <w:right w:val="single" w:sz="4" w:space="0" w:color="auto"/>
            </w:tcBorders>
            <w:shd w:val="clear" w:color="auto" w:fill="auto"/>
          </w:tcPr>
          <w:p w:rsidR="000E4357" w:rsidRPr="00452029" w:rsidRDefault="000E4357" w:rsidP="000F1040">
            <w:pPr>
              <w:pStyle w:val="Text"/>
              <w:spacing w:before="60" w:line="240" w:lineRule="auto"/>
              <w:ind w:left="0"/>
              <w:jc w:val="left"/>
              <w:rPr>
                <w:b/>
                <w:bCs/>
                <w:sz w:val="18"/>
                <w:szCs w:val="18"/>
              </w:rPr>
            </w:pPr>
            <w:r w:rsidRPr="00452029">
              <w:rPr>
                <w:b/>
                <w:bCs/>
                <w:sz w:val="18"/>
                <w:szCs w:val="18"/>
              </w:rPr>
              <w:t>Seagrass</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 xml:space="preserve">Total mapped extent of dense </w:t>
            </w:r>
            <w:r w:rsidRPr="00452029">
              <w:rPr>
                <w:bCs/>
                <w:i/>
                <w:sz w:val="18"/>
                <w:szCs w:val="18"/>
              </w:rPr>
              <w:t>Posidonia</w:t>
            </w:r>
            <w:r w:rsidRPr="00452029">
              <w:rPr>
                <w:bCs/>
                <w:sz w:val="18"/>
                <w:szCs w:val="18"/>
              </w:rPr>
              <w:t xml:space="preserve">  will not decline by greater than 10 percent of the baseline value outlined by Roob </w:t>
            </w:r>
            <w:r w:rsidRPr="001F4522">
              <w:rPr>
                <w:bCs/>
                <w:i/>
                <w:sz w:val="18"/>
                <w:szCs w:val="18"/>
              </w:rPr>
              <w:t>et al</w:t>
            </w:r>
            <w:r>
              <w:rPr>
                <w:bCs/>
                <w:sz w:val="18"/>
                <w:szCs w:val="18"/>
              </w:rPr>
              <w:t>.</w:t>
            </w:r>
            <w:r w:rsidRPr="00452029">
              <w:rPr>
                <w:bCs/>
                <w:sz w:val="18"/>
                <w:szCs w:val="18"/>
              </w:rPr>
              <w:t xml:space="preserve"> (1997) at a whole of site scale (baseline = 3050 hectares; LAC = mapped area less than 2745 hectares) on any occasion. </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 xml:space="preserve">Total mapped extent of the dense and medium density Zosteraceae will not decline by greater than 25 percent of the baseline values outlined by Roob </w:t>
            </w:r>
            <w:r w:rsidRPr="002661BF">
              <w:rPr>
                <w:bCs/>
                <w:i/>
                <w:sz w:val="18"/>
                <w:szCs w:val="18"/>
              </w:rPr>
              <w:t>et al</w:t>
            </w:r>
            <w:r>
              <w:rPr>
                <w:bCs/>
                <w:sz w:val="18"/>
                <w:szCs w:val="18"/>
              </w:rPr>
              <w:t>. (1998</w:t>
            </w:r>
            <w:r w:rsidRPr="00452029">
              <w:rPr>
                <w:bCs/>
                <w:sz w:val="18"/>
                <w:szCs w:val="18"/>
              </w:rPr>
              <w:t xml:space="preserve">) at a whole of site scale on two sampling occasions within any decade. </w:t>
            </w:r>
          </w:p>
          <w:p w:rsidR="000E4357" w:rsidRPr="00861265" w:rsidRDefault="000E4357" w:rsidP="000E4357">
            <w:pPr>
              <w:pStyle w:val="Text"/>
              <w:numPr>
                <w:ilvl w:val="0"/>
                <w:numId w:val="9"/>
              </w:numPr>
              <w:spacing w:before="60" w:line="240" w:lineRule="auto"/>
              <w:jc w:val="left"/>
              <w:rPr>
                <w:bCs/>
                <w:sz w:val="18"/>
                <w:szCs w:val="18"/>
              </w:rPr>
            </w:pPr>
            <w:r w:rsidRPr="00861265">
              <w:rPr>
                <w:bCs/>
                <w:sz w:val="18"/>
                <w:szCs w:val="18"/>
              </w:rPr>
              <w:t xml:space="preserve">Dense </w:t>
            </w:r>
            <w:r w:rsidRPr="00861265">
              <w:rPr>
                <w:bCs/>
                <w:i/>
                <w:sz w:val="18"/>
                <w:szCs w:val="18"/>
              </w:rPr>
              <w:t>Zostera</w:t>
            </w:r>
            <w:r w:rsidRPr="00861265">
              <w:rPr>
                <w:bCs/>
                <w:sz w:val="18"/>
                <w:szCs w:val="18"/>
              </w:rPr>
              <w:t xml:space="preserve"> - Baseline = 5743 hectares (LAC = mapped area less than 4307 hectares)</w:t>
            </w:r>
          </w:p>
          <w:p w:rsidR="000E4357" w:rsidRPr="00861265" w:rsidRDefault="000E4357" w:rsidP="000E4357">
            <w:pPr>
              <w:pStyle w:val="Text"/>
              <w:numPr>
                <w:ilvl w:val="0"/>
                <w:numId w:val="9"/>
              </w:numPr>
              <w:spacing w:before="60" w:line="240" w:lineRule="auto"/>
              <w:jc w:val="left"/>
              <w:rPr>
                <w:bCs/>
                <w:sz w:val="18"/>
                <w:szCs w:val="18"/>
              </w:rPr>
            </w:pPr>
            <w:r w:rsidRPr="00861265">
              <w:rPr>
                <w:bCs/>
                <w:sz w:val="18"/>
                <w:szCs w:val="18"/>
              </w:rPr>
              <w:t xml:space="preserve">Medium </w:t>
            </w:r>
            <w:r w:rsidRPr="00861265">
              <w:rPr>
                <w:bCs/>
                <w:i/>
                <w:sz w:val="18"/>
                <w:szCs w:val="18"/>
              </w:rPr>
              <w:t>Zostera</w:t>
            </w:r>
            <w:r w:rsidRPr="00861265">
              <w:rPr>
                <w:bCs/>
                <w:sz w:val="18"/>
                <w:szCs w:val="18"/>
              </w:rPr>
              <w:t xml:space="preserve"> - Baseline = 1077 hectares (LAC = mapped area less than 807 hectares)</w:t>
            </w:r>
            <w:r w:rsidRPr="00452029">
              <w:rPr>
                <w:bCs/>
                <w:sz w:val="18"/>
                <w:szCs w:val="18"/>
              </w:rPr>
              <w:t xml:space="preserve"> </w:t>
            </w:r>
          </w:p>
        </w:tc>
        <w:tc>
          <w:tcPr>
            <w:tcW w:w="1309" w:type="pct"/>
            <w:tcBorders>
              <w:left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sidRPr="00055476">
              <w:rPr>
                <w:bCs/>
                <w:sz w:val="18"/>
                <w:szCs w:val="18"/>
              </w:rPr>
              <w:t xml:space="preserve">Major declines in </w:t>
            </w:r>
            <w:r w:rsidRPr="00055476">
              <w:rPr>
                <w:bCs/>
                <w:i/>
                <w:sz w:val="18"/>
                <w:szCs w:val="18"/>
              </w:rPr>
              <w:t>Posidonia</w:t>
            </w:r>
            <w:r w:rsidRPr="00055476">
              <w:rPr>
                <w:bCs/>
                <w:sz w:val="18"/>
                <w:szCs w:val="18"/>
              </w:rPr>
              <w:t xml:space="preserve"> have been recorded over time, most notably the 1930s and</w:t>
            </w:r>
            <w:r>
              <w:rPr>
                <w:bCs/>
                <w:sz w:val="18"/>
                <w:szCs w:val="18"/>
              </w:rPr>
              <w:t xml:space="preserve"> 1</w:t>
            </w:r>
            <w:r w:rsidRPr="00055476">
              <w:rPr>
                <w:bCs/>
                <w:sz w:val="18"/>
                <w:szCs w:val="18"/>
              </w:rPr>
              <w:t>974</w:t>
            </w:r>
            <w:r>
              <w:rPr>
                <w:bCs/>
                <w:sz w:val="18"/>
                <w:szCs w:val="18"/>
              </w:rPr>
              <w:t xml:space="preserve">. </w:t>
            </w:r>
          </w:p>
        </w:tc>
        <w:tc>
          <w:tcPr>
            <w:tcW w:w="1599" w:type="pct"/>
            <w:tcBorders>
              <w:left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t xml:space="preserve">Unknown. </w:t>
            </w:r>
            <w:r w:rsidRPr="00055476">
              <w:rPr>
                <w:bCs/>
                <w:sz w:val="18"/>
                <w:szCs w:val="18"/>
              </w:rPr>
              <w:t xml:space="preserve">Reduction in </w:t>
            </w:r>
            <w:r w:rsidRPr="00055476">
              <w:rPr>
                <w:bCs/>
                <w:i/>
                <w:sz w:val="18"/>
                <w:szCs w:val="18"/>
              </w:rPr>
              <w:t>Posidonia</w:t>
            </w:r>
            <w:r w:rsidRPr="00055476">
              <w:rPr>
                <w:bCs/>
                <w:sz w:val="18"/>
                <w:szCs w:val="18"/>
              </w:rPr>
              <w:t xml:space="preserve"> </w:t>
            </w:r>
            <w:r>
              <w:rPr>
                <w:bCs/>
                <w:sz w:val="18"/>
                <w:szCs w:val="18"/>
              </w:rPr>
              <w:t>density/cover</w:t>
            </w:r>
            <w:r w:rsidRPr="00055476">
              <w:rPr>
                <w:bCs/>
                <w:sz w:val="18"/>
                <w:szCs w:val="18"/>
              </w:rPr>
              <w:t xml:space="preserve"> recorded in </w:t>
            </w:r>
            <w:smartTag w:uri="urn:schemas-microsoft-com:office:smarttags" w:element="place">
              <w:smartTag w:uri="urn:schemas-microsoft-com:office:smarttags" w:element="State">
                <w:r w:rsidRPr="00055476">
                  <w:rPr>
                    <w:bCs/>
                    <w:sz w:val="18"/>
                    <w:szCs w:val="18"/>
                  </w:rPr>
                  <w:t>north west</w:t>
                </w:r>
              </w:smartTag>
            </w:smartTag>
            <w:r w:rsidRPr="00055476">
              <w:rPr>
                <w:bCs/>
                <w:sz w:val="18"/>
                <w:szCs w:val="18"/>
              </w:rPr>
              <w:t xml:space="preserve"> Corner Inlet between 1998 and 2007</w:t>
            </w:r>
            <w:r>
              <w:rPr>
                <w:bCs/>
                <w:sz w:val="18"/>
                <w:szCs w:val="18"/>
              </w:rPr>
              <w:t xml:space="preserve">. However, no data available on changes in overall extent. </w:t>
            </w:r>
          </w:p>
        </w:tc>
      </w:tr>
      <w:tr w:rsidR="000E4357" w:rsidRPr="009A0F70" w:rsidTr="000F1040">
        <w:trPr>
          <w:trHeight w:val="1104"/>
        </w:trPr>
        <w:tc>
          <w:tcPr>
            <w:tcW w:w="492" w:type="pct"/>
            <w:vMerge/>
            <w:tcBorders>
              <w:left w:val="single" w:sz="4" w:space="0" w:color="auto"/>
              <w:right w:val="single" w:sz="4" w:space="0" w:color="auto"/>
            </w:tcBorders>
          </w:tcPr>
          <w:p w:rsidR="000E4357" w:rsidRPr="00055476" w:rsidRDefault="000E4357" w:rsidP="000F1040">
            <w:pPr>
              <w:pStyle w:val="Text"/>
              <w:spacing w:before="0" w:line="240" w:lineRule="auto"/>
              <w:ind w:left="0"/>
              <w:jc w:val="left"/>
              <w:rPr>
                <w:b/>
                <w:sz w:val="18"/>
                <w:szCs w:val="18"/>
              </w:rPr>
            </w:pPr>
          </w:p>
        </w:tc>
        <w:tc>
          <w:tcPr>
            <w:tcW w:w="1599" w:type="pct"/>
            <w:tcBorders>
              <w:left w:val="single" w:sz="4" w:space="0" w:color="auto"/>
              <w:bottom w:val="single" w:sz="4" w:space="0" w:color="auto"/>
              <w:right w:val="single" w:sz="4" w:space="0" w:color="auto"/>
            </w:tcBorders>
            <w:shd w:val="clear" w:color="auto" w:fill="auto"/>
          </w:tcPr>
          <w:p w:rsidR="000E4357" w:rsidRPr="00452029" w:rsidRDefault="000E4357" w:rsidP="000F1040">
            <w:pPr>
              <w:pStyle w:val="Text"/>
              <w:spacing w:before="0" w:line="240" w:lineRule="auto"/>
              <w:ind w:left="0"/>
              <w:jc w:val="left"/>
              <w:rPr>
                <w:b/>
                <w:bCs/>
                <w:sz w:val="18"/>
                <w:szCs w:val="18"/>
              </w:rPr>
            </w:pPr>
            <w:r w:rsidRPr="00452029">
              <w:rPr>
                <w:b/>
                <w:bCs/>
                <w:sz w:val="18"/>
                <w:szCs w:val="18"/>
              </w:rPr>
              <w:t>Mangroves</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Based on EVC mapping, it is estimated that mangroves presently cover an area of 2137 hectares within the site. A 10 percent reduction in the total mapped mangrove area, observed on two sampling occasions within any decade, is an unacceptable change. (LAC – mapped area less than 1924 hectares).</w:t>
            </w:r>
          </w:p>
        </w:tc>
        <w:tc>
          <w:tcPr>
            <w:tcW w:w="1309" w:type="pct"/>
            <w:vMerge w:val="restart"/>
            <w:tcBorders>
              <w:left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t>EVC mapping indicates approximately 10 percent loss in mangroves/ saltmarsh since 1750</w:t>
            </w:r>
            <w:r w:rsidRPr="00055476">
              <w:rPr>
                <w:bCs/>
                <w:sz w:val="18"/>
                <w:szCs w:val="18"/>
              </w:rPr>
              <w:t>.</w:t>
            </w:r>
          </w:p>
        </w:tc>
        <w:tc>
          <w:tcPr>
            <w:tcW w:w="1599" w:type="pct"/>
            <w:vMerge w:val="restart"/>
            <w:tcBorders>
              <w:left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t>Unknown. Post–1982 trend not quantified</w:t>
            </w:r>
          </w:p>
        </w:tc>
      </w:tr>
      <w:tr w:rsidR="000E4357" w:rsidRPr="009A0F70" w:rsidTr="000F1040">
        <w:trPr>
          <w:trHeight w:val="1104"/>
        </w:trPr>
        <w:tc>
          <w:tcPr>
            <w:tcW w:w="492" w:type="pct"/>
            <w:vMerge/>
            <w:tcBorders>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jc w:val="left"/>
              <w:rPr>
                <w:b/>
                <w:sz w:val="18"/>
                <w:szCs w:val="18"/>
              </w:rPr>
            </w:pPr>
          </w:p>
        </w:tc>
        <w:tc>
          <w:tcPr>
            <w:tcW w:w="1599" w:type="pct"/>
            <w:tcBorders>
              <w:left w:val="single" w:sz="4" w:space="0" w:color="auto"/>
              <w:bottom w:val="single" w:sz="4" w:space="0" w:color="auto"/>
              <w:right w:val="single" w:sz="4" w:space="0" w:color="auto"/>
            </w:tcBorders>
            <w:shd w:val="clear" w:color="auto" w:fill="auto"/>
          </w:tcPr>
          <w:p w:rsidR="000E4357" w:rsidRPr="00452029" w:rsidRDefault="000E4357" w:rsidP="000F1040">
            <w:pPr>
              <w:pStyle w:val="Text"/>
              <w:spacing w:before="0" w:line="240" w:lineRule="auto"/>
              <w:ind w:left="0"/>
              <w:jc w:val="left"/>
              <w:rPr>
                <w:b/>
                <w:bCs/>
                <w:sz w:val="18"/>
                <w:szCs w:val="18"/>
              </w:rPr>
            </w:pPr>
            <w:r w:rsidRPr="00452029">
              <w:rPr>
                <w:b/>
                <w:bCs/>
                <w:sz w:val="18"/>
                <w:szCs w:val="18"/>
              </w:rPr>
              <w:t>Saltmarsh</w:t>
            </w:r>
          </w:p>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Based on EVC mapping, it is estimated that intertidal marshes presently cover an area of 6500 hectares within the site. A 10 percent reduction in the total mapped saltmarsh area, observed on two sampling occasions within any decade, is an unacceptable change (LAC – mapped area less than 149 hectares).</w:t>
            </w:r>
          </w:p>
        </w:tc>
        <w:tc>
          <w:tcPr>
            <w:tcW w:w="1309" w:type="pct"/>
            <w:vMerge/>
            <w:tcBorders>
              <w:left w:val="single" w:sz="4" w:space="0" w:color="auto"/>
              <w:bottom w:val="single" w:sz="4" w:space="0" w:color="auto"/>
              <w:right w:val="single" w:sz="4" w:space="0" w:color="auto"/>
            </w:tcBorders>
          </w:tcPr>
          <w:p w:rsidR="000E4357" w:rsidRDefault="000E4357" w:rsidP="000F1040">
            <w:pPr>
              <w:pStyle w:val="Text"/>
              <w:spacing w:before="0" w:line="240" w:lineRule="auto"/>
              <w:ind w:left="0"/>
              <w:jc w:val="left"/>
              <w:rPr>
                <w:bCs/>
                <w:sz w:val="18"/>
                <w:szCs w:val="18"/>
              </w:rPr>
            </w:pPr>
          </w:p>
        </w:tc>
        <w:tc>
          <w:tcPr>
            <w:tcW w:w="1599" w:type="pct"/>
            <w:vMerge/>
            <w:tcBorders>
              <w:left w:val="single" w:sz="4" w:space="0" w:color="auto"/>
              <w:bottom w:val="single" w:sz="4" w:space="0" w:color="auto"/>
              <w:right w:val="single" w:sz="4" w:space="0" w:color="auto"/>
            </w:tcBorders>
          </w:tcPr>
          <w:p w:rsidR="000E4357" w:rsidRDefault="000E4357" w:rsidP="000F1040">
            <w:pPr>
              <w:pStyle w:val="Text"/>
              <w:spacing w:before="0" w:line="240" w:lineRule="auto"/>
              <w:ind w:left="0"/>
              <w:jc w:val="left"/>
              <w:rPr>
                <w:bCs/>
                <w:sz w:val="18"/>
                <w:szCs w:val="18"/>
              </w:rPr>
            </w:pPr>
          </w:p>
        </w:tc>
      </w:tr>
      <w:tr w:rsidR="000E4357" w:rsidRPr="009A0F70" w:rsidTr="000F1040">
        <w:tc>
          <w:tcPr>
            <w:tcW w:w="492" w:type="pct"/>
            <w:vMerge w:val="restart"/>
            <w:tcBorders>
              <w:top w:val="single" w:sz="4" w:space="0" w:color="auto"/>
              <w:left w:val="single" w:sz="4" w:space="0" w:color="auto"/>
              <w:right w:val="single" w:sz="4" w:space="0" w:color="auto"/>
            </w:tcBorders>
          </w:tcPr>
          <w:p w:rsidR="000E4357" w:rsidRPr="00055476" w:rsidRDefault="000E4357" w:rsidP="000F1040">
            <w:pPr>
              <w:pStyle w:val="Text"/>
              <w:spacing w:before="0" w:line="240" w:lineRule="auto"/>
              <w:ind w:left="0"/>
              <w:jc w:val="left"/>
              <w:rPr>
                <w:b/>
                <w:bCs/>
                <w:sz w:val="18"/>
                <w:szCs w:val="18"/>
              </w:rPr>
            </w:pPr>
            <w:r>
              <w:rPr>
                <w:b/>
                <w:bCs/>
                <w:sz w:val="18"/>
                <w:szCs w:val="18"/>
              </w:rPr>
              <w:t>C2</w:t>
            </w:r>
            <w:r w:rsidRPr="00055476">
              <w:rPr>
                <w:b/>
                <w:bCs/>
                <w:sz w:val="18"/>
                <w:szCs w:val="18"/>
              </w:rPr>
              <w:t xml:space="preserve"> </w:t>
            </w:r>
          </w:p>
        </w:tc>
        <w:tc>
          <w:tcPr>
            <w:tcW w:w="1599" w:type="pct"/>
            <w:tcBorders>
              <w:top w:val="single" w:sz="4" w:space="0" w:color="auto"/>
              <w:left w:val="single" w:sz="4" w:space="0" w:color="auto"/>
              <w:bottom w:val="single" w:sz="4" w:space="0" w:color="auto"/>
              <w:right w:val="single" w:sz="4" w:space="0" w:color="auto"/>
            </w:tcBorders>
          </w:tcPr>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 xml:space="preserve">Mean annual abundance of migratory bird species - Birds Australia (2009c) note that a maximum annual abundance of </w:t>
            </w:r>
            <w:r w:rsidRPr="00452029">
              <w:rPr>
                <w:bCs/>
                <w:sz w:val="18"/>
                <w:szCs w:val="18"/>
              </w:rPr>
              <w:lastRenderedPageBreak/>
              <w:t>migratory species of 42 811 birds, with a mean annual abundance of migratory species being 31 487</w:t>
            </w:r>
            <w:r w:rsidRPr="00C109F1">
              <w:rPr>
                <w:bCs/>
                <w:sz w:val="18"/>
                <w:szCs w:val="18"/>
              </w:rPr>
              <w:t xml:space="preserve"> </w:t>
            </w:r>
            <w:r w:rsidRPr="00452029">
              <w:rPr>
                <w:bCs/>
                <w:sz w:val="18"/>
                <w:szCs w:val="18"/>
              </w:rPr>
              <w:t>birds. The annual abundance of migratory shorebirds will not decline by 50 per cent of the long-term annual mean value (that is, must not fall below 15 743 individuals) in three consecutive years.</w:t>
            </w:r>
          </w:p>
        </w:tc>
        <w:tc>
          <w:tcPr>
            <w:tcW w:w="1309" w:type="pct"/>
            <w:tcBorders>
              <w:top w:val="single" w:sz="4" w:space="0" w:color="auto"/>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lastRenderedPageBreak/>
              <w:t>Limited data</w:t>
            </w:r>
            <w:r w:rsidRPr="00055476">
              <w:rPr>
                <w:bCs/>
                <w:sz w:val="18"/>
                <w:szCs w:val="18"/>
              </w:rPr>
              <w:t xml:space="preserve">  </w:t>
            </w:r>
          </w:p>
        </w:tc>
        <w:tc>
          <w:tcPr>
            <w:tcW w:w="1599" w:type="pct"/>
            <w:tcBorders>
              <w:top w:val="single" w:sz="4" w:space="0" w:color="auto"/>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t xml:space="preserve">Ecological Character Change unlikely. While some species have declined (see below), there is no evidence to suggest that the overall average total count has declined by </w:t>
            </w:r>
            <w:r>
              <w:rPr>
                <w:bCs/>
                <w:sz w:val="18"/>
                <w:szCs w:val="18"/>
              </w:rPr>
              <w:lastRenderedPageBreak/>
              <w:t xml:space="preserve">50 per cent in three consecutive years. </w:t>
            </w:r>
          </w:p>
        </w:tc>
      </w:tr>
      <w:tr w:rsidR="000E4357" w:rsidRPr="009A0F70" w:rsidTr="000F1040">
        <w:tc>
          <w:tcPr>
            <w:tcW w:w="492" w:type="pct"/>
            <w:vMerge/>
            <w:tcBorders>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rPr>
                <w:b/>
                <w:bCs/>
                <w:sz w:val="18"/>
                <w:szCs w:val="18"/>
              </w:rPr>
            </w:pPr>
          </w:p>
        </w:tc>
        <w:tc>
          <w:tcPr>
            <w:tcW w:w="1599" w:type="pct"/>
            <w:tcBorders>
              <w:top w:val="single" w:sz="4" w:space="0" w:color="auto"/>
              <w:left w:val="single" w:sz="4" w:space="0" w:color="auto"/>
              <w:bottom w:val="single" w:sz="4" w:space="0" w:color="auto"/>
              <w:right w:val="single" w:sz="4" w:space="0" w:color="auto"/>
            </w:tcBorders>
          </w:tcPr>
          <w:p w:rsidR="000E4357" w:rsidRPr="00452029" w:rsidRDefault="000E4357" w:rsidP="000E4357">
            <w:pPr>
              <w:pStyle w:val="Text"/>
              <w:numPr>
                <w:ilvl w:val="0"/>
                <w:numId w:val="47"/>
              </w:numPr>
              <w:spacing w:before="0" w:line="240" w:lineRule="auto"/>
              <w:ind w:left="316" w:hanging="283"/>
              <w:jc w:val="left"/>
              <w:rPr>
                <w:bCs/>
                <w:sz w:val="18"/>
                <w:szCs w:val="18"/>
              </w:rPr>
            </w:pPr>
            <w:r w:rsidRPr="00452029">
              <w:rPr>
                <w:bCs/>
                <w:sz w:val="18"/>
                <w:szCs w:val="18"/>
              </w:rPr>
              <w:t xml:space="preserve">Mean annual abundance of species that meet the one per cent criterion </w:t>
            </w:r>
            <w:r w:rsidRPr="00C109F1">
              <w:rPr>
                <w:bCs/>
                <w:sz w:val="18"/>
                <w:szCs w:val="18"/>
              </w:rPr>
              <w:t>will not be less than 50 per cent of the long-term annual mean value in five years of any ten year period. These values are follows: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bCs/>
                <w:sz w:val="18"/>
                <w:szCs w:val="18"/>
              </w:rPr>
              <w:t>curlew sandpiper – baseline = 2588 birds, LAC = 1294 birds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bCs/>
                <w:sz w:val="18"/>
                <w:szCs w:val="18"/>
              </w:rPr>
              <w:t>bar tailed godwit – baseline = 9727 birds, LAC = 4863 birds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bCs/>
                <w:sz w:val="18"/>
                <w:szCs w:val="18"/>
              </w:rPr>
              <w:t>eastern curlew – baseline = 1971 birds, LAC = 985 birds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bCs/>
                <w:sz w:val="18"/>
                <w:szCs w:val="18"/>
              </w:rPr>
              <w:t>pied oystercatcher – baseline = 893 birds, LAC = 446 birds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bCs/>
                <w:sz w:val="18"/>
                <w:szCs w:val="18"/>
              </w:rPr>
              <w:t>sooty oystercatcher – baseline = 285 birds, LAC = 142 birds</w:t>
            </w:r>
          </w:p>
          <w:p w:rsidR="000E4357" w:rsidRPr="00452029" w:rsidRDefault="000E4357" w:rsidP="000E4357">
            <w:pPr>
              <w:pStyle w:val="Text"/>
              <w:numPr>
                <w:ilvl w:val="1"/>
                <w:numId w:val="13"/>
              </w:numPr>
              <w:tabs>
                <w:tab w:val="clear" w:pos="1440"/>
                <w:tab w:val="num" w:pos="520"/>
              </w:tabs>
              <w:spacing w:before="60" w:line="240" w:lineRule="auto"/>
              <w:ind w:left="520" w:hanging="283"/>
              <w:jc w:val="left"/>
              <w:rPr>
                <w:bCs/>
                <w:sz w:val="18"/>
                <w:szCs w:val="18"/>
              </w:rPr>
            </w:pPr>
            <w:r w:rsidRPr="00452029">
              <w:rPr>
                <w:sz w:val="18"/>
                <w:szCs w:val="18"/>
              </w:rPr>
              <w:t>double-banded plover</w:t>
            </w:r>
            <w:r w:rsidRPr="00452029">
              <w:rPr>
                <w:bCs/>
                <w:sz w:val="18"/>
                <w:szCs w:val="18"/>
              </w:rPr>
              <w:t>– baseline = 523 birds, LAC = 261 birds</w:t>
            </w:r>
          </w:p>
        </w:tc>
        <w:tc>
          <w:tcPr>
            <w:tcW w:w="1309" w:type="pct"/>
            <w:tcBorders>
              <w:top w:val="single" w:sz="4" w:space="0" w:color="auto"/>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sidRPr="00055476">
              <w:rPr>
                <w:bCs/>
                <w:sz w:val="18"/>
                <w:szCs w:val="18"/>
              </w:rPr>
              <w:t xml:space="preserve">See </w:t>
            </w:r>
            <w:r>
              <w:rPr>
                <w:bCs/>
                <w:sz w:val="18"/>
                <w:szCs w:val="18"/>
              </w:rPr>
              <w:t>component</w:t>
            </w:r>
            <w:r w:rsidRPr="00055476">
              <w:rPr>
                <w:bCs/>
                <w:sz w:val="18"/>
                <w:szCs w:val="18"/>
              </w:rPr>
              <w:t xml:space="preserve"> above</w:t>
            </w:r>
          </w:p>
        </w:tc>
        <w:tc>
          <w:tcPr>
            <w:tcW w:w="1599" w:type="pct"/>
            <w:tcBorders>
              <w:top w:val="single" w:sz="4" w:space="0" w:color="auto"/>
              <w:left w:val="single" w:sz="4" w:space="0" w:color="auto"/>
              <w:bottom w:val="single" w:sz="4" w:space="0" w:color="auto"/>
              <w:right w:val="single" w:sz="4" w:space="0" w:color="auto"/>
            </w:tcBorders>
          </w:tcPr>
          <w:p w:rsidR="000E4357" w:rsidRPr="00055476" w:rsidRDefault="000E4357" w:rsidP="000F1040">
            <w:pPr>
              <w:pStyle w:val="Text"/>
              <w:spacing w:before="0" w:line="240" w:lineRule="auto"/>
              <w:ind w:left="0"/>
              <w:jc w:val="left"/>
              <w:rPr>
                <w:bCs/>
                <w:sz w:val="18"/>
                <w:szCs w:val="18"/>
              </w:rPr>
            </w:pPr>
            <w:r>
              <w:rPr>
                <w:bCs/>
                <w:sz w:val="18"/>
                <w:szCs w:val="18"/>
              </w:rPr>
              <w:t xml:space="preserve">Unknown. </w:t>
            </w:r>
            <w:r w:rsidRPr="00055476">
              <w:rPr>
                <w:bCs/>
                <w:sz w:val="18"/>
                <w:szCs w:val="18"/>
              </w:rPr>
              <w:t>Most bird numbers have remained stable since 1982, alt</w:t>
            </w:r>
            <w:r>
              <w:rPr>
                <w:bCs/>
                <w:sz w:val="18"/>
                <w:szCs w:val="18"/>
              </w:rPr>
              <w:t>hough declines are evident for curlew s</w:t>
            </w:r>
            <w:r w:rsidRPr="00055476">
              <w:rPr>
                <w:bCs/>
                <w:sz w:val="18"/>
                <w:szCs w:val="18"/>
              </w:rPr>
              <w:t xml:space="preserve">andpiper and </w:t>
            </w:r>
            <w:r>
              <w:rPr>
                <w:bCs/>
                <w:sz w:val="18"/>
                <w:szCs w:val="18"/>
              </w:rPr>
              <w:t>sharp-tailed s</w:t>
            </w:r>
            <w:r w:rsidRPr="00055476">
              <w:rPr>
                <w:bCs/>
                <w:sz w:val="18"/>
                <w:szCs w:val="18"/>
              </w:rPr>
              <w:t>andpiper. The trend for this latter species, however, has altered, with increases in their numbers being recorded since 2002</w:t>
            </w:r>
            <w:r>
              <w:rPr>
                <w:bCs/>
                <w:sz w:val="18"/>
                <w:szCs w:val="18"/>
              </w:rPr>
              <w:t xml:space="preserve"> (Ecos unpublished). The decline in curlew s</w:t>
            </w:r>
            <w:r w:rsidRPr="00055476">
              <w:rPr>
                <w:bCs/>
                <w:sz w:val="18"/>
                <w:szCs w:val="18"/>
              </w:rPr>
              <w:t>andpiper numbers reflects an overall decline across their range (including south-eastern Australia) and therefore, is unlikely to be a consequence of a change in habitat at Corner Inlet. It is possible that it is being adversely affected by flyway condition or breeding success in its breeding habitats of north-eastern Siberia and Alaska.</w:t>
            </w:r>
          </w:p>
        </w:tc>
      </w:tr>
      <w:tr w:rsidR="000E4357" w:rsidRPr="009A0F70" w:rsidTr="000F1040">
        <w:trPr>
          <w:trHeight w:val="1754"/>
        </w:trPr>
        <w:tc>
          <w:tcPr>
            <w:tcW w:w="492" w:type="pct"/>
            <w:tcBorders>
              <w:top w:val="single" w:sz="4" w:space="0" w:color="auto"/>
              <w:left w:val="single" w:sz="4" w:space="0" w:color="auto"/>
              <w:right w:val="single" w:sz="4" w:space="0" w:color="auto"/>
            </w:tcBorders>
          </w:tcPr>
          <w:p w:rsidR="000E4357" w:rsidRDefault="000E4357" w:rsidP="000F1040">
            <w:pPr>
              <w:pStyle w:val="Text"/>
              <w:spacing w:before="0" w:line="240" w:lineRule="auto"/>
              <w:ind w:left="0"/>
              <w:jc w:val="left"/>
              <w:rPr>
                <w:rFonts w:cs="Arial"/>
                <w:b/>
                <w:sz w:val="18"/>
                <w:szCs w:val="18"/>
              </w:rPr>
            </w:pPr>
            <w:r>
              <w:rPr>
                <w:rFonts w:cs="Arial"/>
                <w:b/>
                <w:sz w:val="18"/>
                <w:szCs w:val="18"/>
              </w:rPr>
              <w:t>P1</w:t>
            </w:r>
          </w:p>
        </w:tc>
        <w:tc>
          <w:tcPr>
            <w:tcW w:w="1599" w:type="pct"/>
            <w:tcBorders>
              <w:top w:val="single" w:sz="4" w:space="0" w:color="auto"/>
              <w:left w:val="single" w:sz="4" w:space="0" w:color="auto"/>
              <w:right w:val="single" w:sz="4" w:space="0" w:color="auto"/>
            </w:tcBorders>
            <w:shd w:val="clear" w:color="auto" w:fill="auto"/>
          </w:tcPr>
          <w:p w:rsidR="000E4357" w:rsidRPr="00452029" w:rsidRDefault="000E4357" w:rsidP="000E4357">
            <w:pPr>
              <w:pStyle w:val="Text"/>
              <w:numPr>
                <w:ilvl w:val="0"/>
                <w:numId w:val="47"/>
              </w:numPr>
              <w:spacing w:before="0" w:line="240" w:lineRule="auto"/>
              <w:ind w:left="316" w:hanging="283"/>
              <w:jc w:val="left"/>
              <w:rPr>
                <w:rFonts w:cs="Arial"/>
                <w:sz w:val="18"/>
                <w:szCs w:val="18"/>
              </w:rPr>
            </w:pPr>
            <w:r>
              <w:rPr>
                <w:bCs/>
                <w:sz w:val="18"/>
                <w:szCs w:val="18"/>
              </w:rPr>
              <w:t>A g</w:t>
            </w:r>
            <w:r w:rsidRPr="00C109F1">
              <w:rPr>
                <w:bCs/>
                <w:sz w:val="18"/>
                <w:szCs w:val="18"/>
              </w:rPr>
              <w:t>reater than 50</w:t>
            </w:r>
            <w:r>
              <w:rPr>
                <w:bCs/>
                <w:sz w:val="18"/>
                <w:szCs w:val="18"/>
              </w:rPr>
              <w:t xml:space="preserve"> per</w:t>
            </w:r>
            <w:r w:rsidRPr="00C109F1">
              <w:rPr>
                <w:bCs/>
                <w:sz w:val="18"/>
                <w:szCs w:val="18"/>
              </w:rPr>
              <w:t xml:space="preserve">cent reduction in nesting activity at key nesting sites for </w:t>
            </w:r>
            <w:r w:rsidRPr="00452029">
              <w:rPr>
                <w:bCs/>
                <w:sz w:val="18"/>
                <w:szCs w:val="18"/>
              </w:rPr>
              <w:t>fairy tern, hooded plover, Caspian tern, crested tern</w:t>
            </w:r>
            <w:r>
              <w:rPr>
                <w:bCs/>
                <w:sz w:val="18"/>
                <w:szCs w:val="18"/>
              </w:rPr>
              <w:t xml:space="preserve"> is an unacceptable change</w:t>
            </w:r>
          </w:p>
        </w:tc>
        <w:tc>
          <w:tcPr>
            <w:tcW w:w="1309" w:type="pct"/>
            <w:tcBorders>
              <w:top w:val="single" w:sz="4" w:space="0" w:color="auto"/>
              <w:left w:val="single" w:sz="4" w:space="0" w:color="auto"/>
              <w:right w:val="single" w:sz="4" w:space="0" w:color="auto"/>
            </w:tcBorders>
            <w:shd w:val="clear" w:color="auto" w:fill="auto"/>
          </w:tcPr>
          <w:p w:rsidR="000E4357" w:rsidRDefault="000E4357" w:rsidP="000F1040">
            <w:pPr>
              <w:pStyle w:val="Text"/>
              <w:spacing w:before="0" w:line="240" w:lineRule="auto"/>
              <w:ind w:left="0"/>
              <w:jc w:val="left"/>
              <w:rPr>
                <w:bCs/>
                <w:sz w:val="18"/>
                <w:szCs w:val="18"/>
              </w:rPr>
            </w:pPr>
            <w:r>
              <w:rPr>
                <w:bCs/>
                <w:sz w:val="18"/>
                <w:szCs w:val="18"/>
              </w:rPr>
              <w:t>No available data</w:t>
            </w:r>
          </w:p>
        </w:tc>
        <w:tc>
          <w:tcPr>
            <w:tcW w:w="1599" w:type="pct"/>
            <w:tcBorders>
              <w:top w:val="single" w:sz="4" w:space="0" w:color="auto"/>
              <w:left w:val="single" w:sz="4" w:space="0" w:color="auto"/>
              <w:right w:val="single" w:sz="4" w:space="0" w:color="auto"/>
            </w:tcBorders>
            <w:shd w:val="clear" w:color="auto" w:fill="auto"/>
          </w:tcPr>
          <w:p w:rsidR="000E4357" w:rsidRDefault="000E4357" w:rsidP="000F1040">
            <w:pPr>
              <w:pStyle w:val="Text"/>
              <w:spacing w:before="0" w:line="240" w:lineRule="auto"/>
              <w:ind w:left="0"/>
              <w:jc w:val="left"/>
              <w:rPr>
                <w:bCs/>
                <w:sz w:val="18"/>
                <w:szCs w:val="18"/>
              </w:rPr>
            </w:pPr>
            <w:r>
              <w:rPr>
                <w:bCs/>
                <w:sz w:val="18"/>
                <w:szCs w:val="18"/>
              </w:rPr>
              <w:t>Unknown</w:t>
            </w:r>
          </w:p>
        </w:tc>
      </w:tr>
      <w:tr w:rsidR="000E4357" w:rsidRPr="009A0F70" w:rsidTr="000F1040">
        <w:trPr>
          <w:trHeight w:val="1754"/>
        </w:trPr>
        <w:tc>
          <w:tcPr>
            <w:tcW w:w="492" w:type="pct"/>
            <w:tcBorders>
              <w:top w:val="single" w:sz="4" w:space="0" w:color="auto"/>
              <w:left w:val="single" w:sz="4" w:space="0" w:color="auto"/>
              <w:right w:val="single" w:sz="4" w:space="0" w:color="auto"/>
            </w:tcBorders>
          </w:tcPr>
          <w:p w:rsidR="000E4357" w:rsidRPr="00055476" w:rsidRDefault="000E4357" w:rsidP="000F1040">
            <w:pPr>
              <w:pStyle w:val="Text"/>
              <w:spacing w:before="0" w:line="240" w:lineRule="auto"/>
              <w:ind w:left="0"/>
              <w:jc w:val="left"/>
              <w:rPr>
                <w:rFonts w:cs="Arial"/>
                <w:b/>
                <w:sz w:val="18"/>
                <w:szCs w:val="18"/>
              </w:rPr>
            </w:pPr>
            <w:r>
              <w:rPr>
                <w:rFonts w:cs="Arial"/>
                <w:b/>
                <w:sz w:val="18"/>
                <w:szCs w:val="18"/>
              </w:rPr>
              <w:t>S1</w:t>
            </w:r>
          </w:p>
        </w:tc>
        <w:tc>
          <w:tcPr>
            <w:tcW w:w="1599" w:type="pct"/>
            <w:tcBorders>
              <w:top w:val="single" w:sz="4" w:space="0" w:color="auto"/>
              <w:left w:val="single" w:sz="4" w:space="0" w:color="auto"/>
              <w:right w:val="single" w:sz="4" w:space="0" w:color="auto"/>
            </w:tcBorders>
            <w:shd w:val="clear" w:color="auto" w:fill="auto"/>
          </w:tcPr>
          <w:p w:rsidR="000E4357" w:rsidRPr="00452029" w:rsidRDefault="000E4357" w:rsidP="000E4357">
            <w:pPr>
              <w:pStyle w:val="Text"/>
              <w:numPr>
                <w:ilvl w:val="0"/>
                <w:numId w:val="47"/>
              </w:numPr>
              <w:spacing w:before="0" w:line="240" w:lineRule="auto"/>
              <w:ind w:left="316" w:hanging="283"/>
              <w:jc w:val="left"/>
              <w:rPr>
                <w:bCs/>
                <w:sz w:val="18"/>
                <w:szCs w:val="18"/>
              </w:rPr>
            </w:pPr>
            <w:r w:rsidRPr="00950BAC">
              <w:rPr>
                <w:bCs/>
                <w:sz w:val="18"/>
                <w:szCs w:val="18"/>
              </w:rPr>
              <w:t>An unacceptable change would have occurred if either growling grass frog, o</w:t>
            </w:r>
            <w:r w:rsidRPr="00452029">
              <w:rPr>
                <w:bCs/>
                <w:sz w:val="18"/>
                <w:szCs w:val="18"/>
              </w:rPr>
              <w:t>range-bellied parrot</w:t>
            </w:r>
            <w:r w:rsidRPr="00950BAC">
              <w:rPr>
                <w:bCs/>
                <w:sz w:val="18"/>
                <w:szCs w:val="18"/>
              </w:rPr>
              <w:t xml:space="preserve"> or Australian grayling no longer supported</w:t>
            </w:r>
          </w:p>
        </w:tc>
        <w:tc>
          <w:tcPr>
            <w:tcW w:w="1309" w:type="pct"/>
            <w:tcBorders>
              <w:top w:val="single" w:sz="4" w:space="0" w:color="auto"/>
              <w:left w:val="single" w:sz="4" w:space="0" w:color="auto"/>
              <w:right w:val="single" w:sz="4" w:space="0" w:color="auto"/>
            </w:tcBorders>
            <w:shd w:val="clear" w:color="auto" w:fill="auto"/>
          </w:tcPr>
          <w:p w:rsidR="000E4357" w:rsidRPr="00055476" w:rsidRDefault="000E4357" w:rsidP="000F1040">
            <w:pPr>
              <w:pStyle w:val="Text"/>
              <w:spacing w:before="0" w:line="240" w:lineRule="auto"/>
              <w:ind w:left="0"/>
              <w:jc w:val="left"/>
              <w:rPr>
                <w:bCs/>
                <w:sz w:val="18"/>
                <w:szCs w:val="18"/>
              </w:rPr>
            </w:pPr>
            <w:r>
              <w:rPr>
                <w:bCs/>
                <w:sz w:val="18"/>
                <w:szCs w:val="18"/>
              </w:rPr>
              <w:t>All species are threatened, primarily due to long term habitat loss and degradation throughout their range.</w:t>
            </w:r>
          </w:p>
        </w:tc>
        <w:tc>
          <w:tcPr>
            <w:tcW w:w="1599" w:type="pct"/>
            <w:tcBorders>
              <w:top w:val="single" w:sz="4" w:space="0" w:color="auto"/>
              <w:left w:val="single" w:sz="4" w:space="0" w:color="auto"/>
              <w:right w:val="single" w:sz="4" w:space="0" w:color="auto"/>
            </w:tcBorders>
            <w:shd w:val="clear" w:color="auto" w:fill="auto"/>
          </w:tcPr>
          <w:p w:rsidR="000E4357" w:rsidRPr="00055476" w:rsidRDefault="000E4357" w:rsidP="000F1040">
            <w:pPr>
              <w:pStyle w:val="Text"/>
              <w:spacing w:before="0" w:line="240" w:lineRule="auto"/>
              <w:ind w:left="0"/>
              <w:jc w:val="left"/>
              <w:rPr>
                <w:bCs/>
                <w:sz w:val="18"/>
                <w:szCs w:val="18"/>
              </w:rPr>
            </w:pPr>
            <w:r>
              <w:rPr>
                <w:bCs/>
                <w:sz w:val="18"/>
                <w:szCs w:val="18"/>
              </w:rPr>
              <w:t>Ecological Character Change unlikely due to site specific threats.</w:t>
            </w:r>
          </w:p>
        </w:tc>
      </w:tr>
      <w:tr w:rsidR="000E4357" w:rsidRPr="009A0F70" w:rsidTr="000F1040">
        <w:trPr>
          <w:trHeight w:val="1754"/>
        </w:trPr>
        <w:tc>
          <w:tcPr>
            <w:tcW w:w="492" w:type="pct"/>
            <w:tcBorders>
              <w:top w:val="single" w:sz="4" w:space="0" w:color="auto"/>
              <w:left w:val="single" w:sz="4" w:space="0" w:color="auto"/>
              <w:right w:val="single" w:sz="4" w:space="0" w:color="auto"/>
            </w:tcBorders>
          </w:tcPr>
          <w:p w:rsidR="000E4357" w:rsidRPr="00055476" w:rsidRDefault="000E4357" w:rsidP="000F1040">
            <w:pPr>
              <w:pStyle w:val="Text"/>
              <w:spacing w:before="0" w:line="240" w:lineRule="auto"/>
              <w:ind w:left="0"/>
              <w:jc w:val="left"/>
              <w:rPr>
                <w:rFonts w:cs="Arial"/>
                <w:b/>
                <w:sz w:val="18"/>
                <w:szCs w:val="18"/>
              </w:rPr>
            </w:pPr>
            <w:r w:rsidRPr="00055476">
              <w:rPr>
                <w:rFonts w:cs="Arial"/>
                <w:b/>
                <w:sz w:val="18"/>
                <w:szCs w:val="18"/>
              </w:rPr>
              <w:t>S</w:t>
            </w:r>
            <w:r>
              <w:rPr>
                <w:rFonts w:cs="Arial"/>
                <w:b/>
                <w:sz w:val="18"/>
                <w:szCs w:val="18"/>
              </w:rPr>
              <w:t xml:space="preserve">2. </w:t>
            </w:r>
          </w:p>
        </w:tc>
        <w:tc>
          <w:tcPr>
            <w:tcW w:w="1599" w:type="pct"/>
            <w:tcBorders>
              <w:top w:val="single" w:sz="4" w:space="0" w:color="auto"/>
              <w:left w:val="single" w:sz="4" w:space="0" w:color="auto"/>
              <w:right w:val="single" w:sz="4" w:space="0" w:color="auto"/>
            </w:tcBorders>
            <w:shd w:val="clear" w:color="auto" w:fill="auto"/>
          </w:tcPr>
          <w:p w:rsidR="000E4357" w:rsidRPr="00950BAC" w:rsidRDefault="000E4357" w:rsidP="000E4357">
            <w:pPr>
              <w:pStyle w:val="Text"/>
              <w:numPr>
                <w:ilvl w:val="0"/>
                <w:numId w:val="47"/>
              </w:numPr>
              <w:spacing w:before="0" w:line="240" w:lineRule="auto"/>
              <w:ind w:left="316" w:hanging="283"/>
              <w:jc w:val="left"/>
              <w:rPr>
                <w:bCs/>
                <w:sz w:val="18"/>
                <w:szCs w:val="18"/>
              </w:rPr>
            </w:pPr>
            <w:r w:rsidRPr="00950BAC">
              <w:rPr>
                <w:bCs/>
                <w:sz w:val="18"/>
                <w:szCs w:val="18"/>
              </w:rPr>
              <w:t>Median abundance of key fisheries species will not fall below the 2</w:t>
            </w:r>
            <w:r>
              <w:rPr>
                <w:bCs/>
                <w:sz w:val="18"/>
                <w:szCs w:val="18"/>
              </w:rPr>
              <w:t>0</w:t>
            </w:r>
            <w:r w:rsidRPr="00AA7ED9">
              <w:rPr>
                <w:bCs/>
                <w:sz w:val="18"/>
                <w:szCs w:val="18"/>
                <w:vertAlign w:val="superscript"/>
              </w:rPr>
              <w:t>th</w:t>
            </w:r>
            <w:r w:rsidRPr="00950BAC">
              <w:rPr>
                <w:bCs/>
                <w:sz w:val="18"/>
                <w:szCs w:val="18"/>
              </w:rPr>
              <w:t xml:space="preserve"> percentile baseline value over a five year period.</w:t>
            </w:r>
          </w:p>
          <w:p w:rsidR="000E4357" w:rsidRPr="00950BAC" w:rsidRDefault="000E4357" w:rsidP="000F1040">
            <w:pPr>
              <w:pStyle w:val="Text"/>
              <w:spacing w:before="0" w:line="240" w:lineRule="auto"/>
              <w:ind w:left="0"/>
              <w:jc w:val="left"/>
              <w:rPr>
                <w:bCs/>
                <w:sz w:val="18"/>
                <w:szCs w:val="18"/>
              </w:rPr>
            </w:pPr>
          </w:p>
        </w:tc>
        <w:tc>
          <w:tcPr>
            <w:tcW w:w="1309" w:type="pct"/>
            <w:tcBorders>
              <w:top w:val="single" w:sz="4" w:space="0" w:color="auto"/>
              <w:left w:val="single" w:sz="4" w:space="0" w:color="auto"/>
              <w:right w:val="single" w:sz="4" w:space="0" w:color="auto"/>
            </w:tcBorders>
            <w:shd w:val="clear" w:color="auto" w:fill="auto"/>
          </w:tcPr>
          <w:p w:rsidR="000E4357" w:rsidRPr="00055476" w:rsidRDefault="000E4357" w:rsidP="000F1040">
            <w:pPr>
              <w:pStyle w:val="Text"/>
              <w:spacing w:before="0" w:line="240" w:lineRule="auto"/>
              <w:ind w:left="0"/>
              <w:jc w:val="left"/>
              <w:rPr>
                <w:bCs/>
                <w:sz w:val="18"/>
                <w:szCs w:val="18"/>
              </w:rPr>
            </w:pPr>
            <w:r w:rsidRPr="00055476">
              <w:rPr>
                <w:bCs/>
                <w:sz w:val="18"/>
                <w:szCs w:val="18"/>
              </w:rPr>
              <w:t>Like other estuaries, abundance of most fish species is likely to have declined in response to habitat loss and degradation, fishing and altered flow regimes (both within and external to site).</w:t>
            </w:r>
          </w:p>
        </w:tc>
        <w:tc>
          <w:tcPr>
            <w:tcW w:w="1599" w:type="pct"/>
            <w:tcBorders>
              <w:top w:val="single" w:sz="4" w:space="0" w:color="auto"/>
              <w:left w:val="single" w:sz="4" w:space="0" w:color="auto"/>
              <w:right w:val="single" w:sz="4" w:space="0" w:color="auto"/>
            </w:tcBorders>
            <w:shd w:val="clear" w:color="auto" w:fill="auto"/>
          </w:tcPr>
          <w:p w:rsidR="000E4357" w:rsidRPr="00055476" w:rsidRDefault="000E4357" w:rsidP="000F1040">
            <w:pPr>
              <w:pStyle w:val="Text"/>
              <w:spacing w:before="0" w:line="240" w:lineRule="auto"/>
              <w:ind w:left="0"/>
              <w:jc w:val="left"/>
              <w:rPr>
                <w:bCs/>
                <w:sz w:val="18"/>
                <w:szCs w:val="18"/>
              </w:rPr>
            </w:pPr>
            <w:r>
              <w:rPr>
                <w:bCs/>
                <w:sz w:val="18"/>
                <w:szCs w:val="18"/>
              </w:rPr>
              <w:t xml:space="preserve">Ecological Character Change unlikely. Some declines in catch per unit effort of Australian salmon and green-back flounder (see Table 3.9), although the LAC value was not exceeded. There is no evidence that stocks of these species are in decline. </w:t>
            </w:r>
          </w:p>
        </w:tc>
      </w:tr>
    </w:tbl>
    <w:p w:rsidR="000E4357" w:rsidRDefault="000E4357" w:rsidP="00A9381D">
      <w:pPr>
        <w:pStyle w:val="Heading0"/>
        <w:sectPr w:rsidR="000E4357" w:rsidSect="000E4357">
          <w:headerReference w:type="first" r:id="rId20"/>
          <w:footerReference w:type="first" r:id="rId21"/>
          <w:pgSz w:w="11907" w:h="16840"/>
          <w:pgMar w:top="1418" w:right="1134" w:bottom="1418" w:left="1276" w:header="851" w:footer="217" w:gutter="0"/>
          <w:cols w:space="720"/>
          <w:docGrid w:linePitch="272"/>
        </w:sectPr>
      </w:pPr>
    </w:p>
    <w:p w:rsidR="000E4357" w:rsidRPr="00C60682" w:rsidRDefault="000E4357" w:rsidP="000E4357">
      <w:pPr>
        <w:pStyle w:val="Heading1"/>
        <w:ind w:left="851" w:hanging="851"/>
      </w:pPr>
      <w:bookmarkStart w:id="29" w:name="_Ref236629700"/>
      <w:bookmarkStart w:id="30" w:name="_Toc295374243"/>
      <w:r w:rsidRPr="00C60682">
        <w:lastRenderedPageBreak/>
        <w:t>Information Gaps, Monitoring And Education</w:t>
      </w:r>
      <w:bookmarkEnd w:id="29"/>
      <w:bookmarkEnd w:id="30"/>
    </w:p>
    <w:p w:rsidR="000E4357" w:rsidRDefault="000E4357" w:rsidP="000E4357">
      <w:pPr>
        <w:pStyle w:val="Heading2"/>
        <w:ind w:left="851" w:hanging="851"/>
      </w:pPr>
      <w:bookmarkStart w:id="31" w:name="_Ref234997687"/>
      <w:bookmarkStart w:id="32" w:name="_Toc295374244"/>
      <w:r w:rsidRPr="009A0F70">
        <w:t>Information Gaps</w:t>
      </w:r>
      <w:bookmarkEnd w:id="31"/>
      <w:bookmarkEnd w:id="32"/>
    </w:p>
    <w:p w:rsidR="000E4357" w:rsidRPr="00816D34" w:rsidRDefault="000E4357" w:rsidP="000E4357">
      <w:pPr>
        <w:pStyle w:val="Text"/>
      </w:pPr>
      <w:r w:rsidRPr="00816D34">
        <w:t>The ECD preparation process promotes the identification of information or knowledge gaps about the Ramsar site that are principally derived through interrogation of the nominated ecosystem services/benefits, components and processes and associated understanding of natural variability and limits of acceptable change.</w:t>
      </w:r>
    </w:p>
    <w:p w:rsidR="000E4357" w:rsidRPr="00816D34" w:rsidRDefault="000E4357" w:rsidP="000E4357">
      <w:pPr>
        <w:pStyle w:val="Text"/>
      </w:pPr>
      <w:r w:rsidRPr="00816D34">
        <w:t>In general, data and information gaps have been identified in this ECD in three broad areas:</w:t>
      </w:r>
    </w:p>
    <w:p w:rsidR="000E4357" w:rsidRPr="00816D34" w:rsidRDefault="000E4357" w:rsidP="000E4357">
      <w:pPr>
        <w:pStyle w:val="Bullets"/>
      </w:pPr>
      <w:r>
        <w:t>i</w:t>
      </w:r>
      <w:r w:rsidRPr="00816D34">
        <w:t xml:space="preserve">n relation to the natural variability and </w:t>
      </w:r>
      <w:r>
        <w:t xml:space="preserve">LACs </w:t>
      </w:r>
      <w:r w:rsidRPr="00816D34">
        <w:t>for critical wetland habitats and species (as outlined in Section</w:t>
      </w:r>
      <w:r>
        <w:t xml:space="preserve">s </w:t>
      </w:r>
      <w:r w:rsidR="00092695">
        <w:fldChar w:fldCharType="begin"/>
      </w:r>
      <w:r>
        <w:instrText xml:space="preserve"> REF _Ref236647049 \r \h </w:instrText>
      </w:r>
      <w:r w:rsidR="00092695">
        <w:fldChar w:fldCharType="separate"/>
      </w:r>
      <w:r>
        <w:t>4</w:t>
      </w:r>
      <w:r w:rsidR="00092695">
        <w:fldChar w:fldCharType="end"/>
      </w:r>
      <w:r>
        <w:t xml:space="preserve"> and </w:t>
      </w:r>
      <w:r w:rsidR="00092695">
        <w:fldChar w:fldCharType="begin"/>
      </w:r>
      <w:r>
        <w:instrText xml:space="preserve"> REF _Ref280172951 \r \h </w:instrText>
      </w:r>
      <w:r w:rsidR="00092695">
        <w:fldChar w:fldCharType="separate"/>
      </w:r>
      <w:r>
        <w:t>5.2</w:t>
      </w:r>
      <w:r w:rsidR="00092695">
        <w:fldChar w:fldCharType="end"/>
      </w:r>
      <w:r>
        <w:t xml:space="preserve">, </w:t>
      </w:r>
      <w:r w:rsidRPr="00816D34">
        <w:t xml:space="preserve">particularly for those attributes/controls where </w:t>
      </w:r>
      <w:r>
        <w:t>there are no data</w:t>
      </w:r>
    </w:p>
    <w:p w:rsidR="000E4357" w:rsidRPr="00816D34" w:rsidRDefault="000E4357" w:rsidP="000E4357">
      <w:pPr>
        <w:pStyle w:val="Bullets"/>
      </w:pPr>
      <w:r>
        <w:t>i</w:t>
      </w:r>
      <w:r w:rsidRPr="00816D34">
        <w:t xml:space="preserve">n relation to lack of information and data to support a more detailed assessment of ecological character change at a whole of site and individual waterbody/wetland scale (refer Section </w:t>
      </w:r>
      <w:fldSimple w:instr=" REF _Ref235000856 \r \h  \* MERGEFORMAT ">
        <w:r>
          <w:t>5.1</w:t>
        </w:r>
      </w:fldSimple>
      <w:r w:rsidRPr="00816D34">
        <w:t>)</w:t>
      </w:r>
    </w:p>
    <w:p w:rsidR="000E4357" w:rsidRPr="00816D34" w:rsidRDefault="000E4357" w:rsidP="000E4357">
      <w:pPr>
        <w:pStyle w:val="Bullets"/>
      </w:pPr>
      <w:r>
        <w:t>i</w:t>
      </w:r>
      <w:r w:rsidRPr="00816D34">
        <w:t>n the context of the discussion of each of the critical services/benefits in the detailed ecological character description section (refer Section</w:t>
      </w:r>
      <w:r>
        <w:t xml:space="preserve"> </w:t>
      </w:r>
      <w:r w:rsidR="00092695">
        <w:fldChar w:fldCharType="begin"/>
      </w:r>
      <w:r>
        <w:instrText xml:space="preserve"> REF _Ref236746042 \r \h </w:instrText>
      </w:r>
      <w:r w:rsidR="00092695">
        <w:fldChar w:fldCharType="separate"/>
      </w:r>
      <w:r>
        <w:t>3.3</w:t>
      </w:r>
      <w:r w:rsidR="00092695">
        <w:fldChar w:fldCharType="end"/>
      </w:r>
      <w:r w:rsidRPr="00816D34">
        <w:t>).</w:t>
      </w:r>
    </w:p>
    <w:p w:rsidR="000E4357" w:rsidRDefault="000E4357" w:rsidP="000E4357">
      <w:pPr>
        <w:pStyle w:val="Text"/>
      </w:pPr>
      <w:r w:rsidRPr="00816D34">
        <w:t>In analysing the information gaps identified in these three sections of the ECD, the following thematic information gaps are identified as priority areas for future investment:</w:t>
      </w:r>
    </w:p>
    <w:p w:rsidR="000E4357" w:rsidRDefault="000E4357" w:rsidP="000E4357">
      <w:pPr>
        <w:pStyle w:val="Bullets"/>
      </w:pPr>
      <w:r>
        <w:t>Baseline water quality characteristics within representative habitats throughout the site. In particular, inclusion of nitrogen species in routine monitoring and additional monitoring of wastewater treatment plants are seen as priorities (Water Technology 2008). This is considered to represent the most critical information gap in terms of identifying potential future impacts to most critical components and services/benefits</w:t>
      </w:r>
    </w:p>
    <w:p w:rsidR="000E4357" w:rsidRPr="00816D34" w:rsidRDefault="000E4357" w:rsidP="000E4357">
      <w:pPr>
        <w:pStyle w:val="Bullets"/>
      </w:pPr>
      <w:r>
        <w:t xml:space="preserve">Further investigation into the high nutrient concentrations in the Yanakie region  </w:t>
      </w:r>
    </w:p>
    <w:p w:rsidR="000E4357" w:rsidRDefault="000E4357" w:rsidP="000E4357">
      <w:pPr>
        <w:pStyle w:val="Bullets"/>
      </w:pPr>
      <w:r>
        <w:t>A</w:t>
      </w:r>
      <w:r w:rsidRPr="00816D34">
        <w:t>dditional research and monitoring expenditure to establish an ecological character baseline for the key waterbodies/wetland habitats, with a priority on habitats such as seagrass and fringing littoral vegetation, which support important flora and fauna species, habitats and life-history functions (</w:t>
      </w:r>
      <w:r>
        <w:t>for example,</w:t>
      </w:r>
      <w:r w:rsidRPr="00816D34">
        <w:t xml:space="preserve"> breeding sites, roosting sites, spawning sites, etc.) that are at most risk of future ecological change</w:t>
      </w:r>
    </w:p>
    <w:p w:rsidR="000E4357" w:rsidRDefault="000E4357" w:rsidP="000E4357">
      <w:pPr>
        <w:pStyle w:val="Bullets"/>
      </w:pPr>
      <w:r>
        <w:t xml:space="preserve">Comprehensive seagrass mapping was undertaken by Roob </w:t>
      </w:r>
      <w:r w:rsidRPr="00326DB1">
        <w:t>et al.</w:t>
      </w:r>
      <w:r>
        <w:t xml:space="preserve"> (1998) for the site and used for comparative purposes as part of more recent condition assessments (as documented by Hindell 2008). However, the primary purpose of this has been to assess the impact and recovery of seagrass (in terms of extent and density) from algal blooms in the lakes as opposed to repeating Roob </w:t>
      </w:r>
      <w:r w:rsidRPr="00326DB1">
        <w:t>et al.</w:t>
      </w:r>
      <w:r w:rsidRPr="00F26F9D">
        <w:rPr>
          <w:i/>
        </w:rPr>
        <w:t>’s</w:t>
      </w:r>
      <w:r>
        <w:t xml:space="preserve"> broad-scale resource mapping exercise (Hindell 2008)</w:t>
      </w:r>
    </w:p>
    <w:p w:rsidR="000E4357" w:rsidRPr="00B13E99" w:rsidRDefault="000E4357" w:rsidP="000E4357">
      <w:pPr>
        <w:pStyle w:val="Bullets"/>
      </w:pPr>
      <w:r w:rsidRPr="00B13E99">
        <w:t xml:space="preserve">In terms of </w:t>
      </w:r>
      <w:r>
        <w:t xml:space="preserve">wetland </w:t>
      </w:r>
      <w:r w:rsidRPr="00B13E99">
        <w:t>flora, mapping</w:t>
      </w:r>
      <w:r w:rsidRPr="00B13E99">
        <w:rPr>
          <w:b/>
        </w:rPr>
        <w:t xml:space="preserve"> </w:t>
      </w:r>
      <w:r w:rsidRPr="00B13E99">
        <w:t>layers for both the Victorian Wetland Classification System</w:t>
      </w:r>
      <w:r>
        <w:t xml:space="preserve"> (VWCS)</w:t>
      </w:r>
      <w:r w:rsidRPr="00B13E99">
        <w:t xml:space="preserve"> and Ecological Vegetation Classes </w:t>
      </w:r>
      <w:r>
        <w:t xml:space="preserve">(EVC) </w:t>
      </w:r>
      <w:r w:rsidRPr="00B13E99">
        <w:t>were made available to the study team</w:t>
      </w:r>
      <w:r>
        <w:t xml:space="preserve">. </w:t>
      </w:r>
      <w:r w:rsidRPr="00B13E99">
        <w:t xml:space="preserve">However, as previously mentioned, the classification systems on which these mapping layers are </w:t>
      </w:r>
      <w:r>
        <w:t>based do not have direct</w:t>
      </w:r>
      <w:r w:rsidRPr="00B13E99">
        <w:t xml:space="preserve"> equivalent</w:t>
      </w:r>
      <w:r>
        <w:t>s</w:t>
      </w:r>
      <w:r w:rsidRPr="00B13E99">
        <w:t xml:space="preserve"> to Ramsar wetland types</w:t>
      </w:r>
      <w:r>
        <w:t xml:space="preserve">. </w:t>
      </w:r>
      <w:r w:rsidRPr="00B13E99">
        <w:t>As such, it is difficult to quantify the distribution and extent of Ramsar wetland types within the site</w:t>
      </w:r>
      <w:r>
        <w:t xml:space="preserve">. </w:t>
      </w:r>
      <w:r w:rsidRPr="00B13E99">
        <w:t>Furthermore, there is limited specific information on the condition of individual wetlands and/or areas within the site</w:t>
      </w:r>
      <w:r>
        <w:t>.</w:t>
      </w:r>
    </w:p>
    <w:p w:rsidR="000E4357" w:rsidRPr="00816D34" w:rsidRDefault="000E4357" w:rsidP="000E4357">
      <w:pPr>
        <w:pStyle w:val="Bullets"/>
      </w:pPr>
      <w:r w:rsidRPr="00816D34">
        <w:lastRenderedPageBreak/>
        <w:t>The need for better information and data sets about the presence and natural history of critical wetland species and their habitat</w:t>
      </w:r>
      <w:r>
        <w:t>;</w:t>
      </w:r>
      <w:r w:rsidRPr="00816D34">
        <w:t xml:space="preserve"> and more systematic surveys of important avifauna and fish species and populations</w:t>
      </w:r>
      <w:r>
        <w:t>. Surveys should focus on quantifying patterns in the abundance of waterbirds, as well identifying important areas and site usage by threatened wetland-dependent fauna species that are known (that is, growling grass frog, Australian grayling, orange-bellied parrot) or highly likely (for example, Australasian bittern) to occur in the site</w:t>
      </w:r>
    </w:p>
    <w:p w:rsidR="000E4357" w:rsidRPr="00816D34" w:rsidRDefault="000E4357" w:rsidP="000E4357">
      <w:pPr>
        <w:pStyle w:val="Bullets"/>
      </w:pPr>
      <w:r w:rsidRPr="00816D34">
        <w:t xml:space="preserve">Better information and understanding about the natural variability of critical wetland fauna populations and key attributes and controls on those populations (including whether or not any non-avian fauna species meet the </w:t>
      </w:r>
      <w:r>
        <w:t>one per cent</w:t>
      </w:r>
      <w:r w:rsidRPr="00816D34">
        <w:t xml:space="preserve"> population requirement in Ramsar </w:t>
      </w:r>
      <w:r>
        <w:t>n</w:t>
      </w:r>
      <w:r w:rsidRPr="00816D34">
        <w:t xml:space="preserve">omination </w:t>
      </w:r>
      <w:r>
        <w:t>criterion 9)</w:t>
      </w:r>
    </w:p>
    <w:p w:rsidR="000E4357" w:rsidRPr="00816D34" w:rsidRDefault="000E4357" w:rsidP="000E4357">
      <w:pPr>
        <w:pStyle w:val="Bullets"/>
      </w:pPr>
      <w:r w:rsidRPr="00816D34">
        <w:t>More specific assessment of the vulnerability of the site to the impacts of climate change and adaptation options that could be</w:t>
      </w:r>
      <w:r>
        <w:t xml:space="preserve"> explored to reduce the impacts</w:t>
      </w:r>
    </w:p>
    <w:p w:rsidR="000E4357" w:rsidRDefault="000E4357" w:rsidP="000E4357">
      <w:pPr>
        <w:pStyle w:val="Bullets"/>
      </w:pPr>
      <w:r>
        <w:t>The Nooramunga barrier islands and sandy dune systems are highly susceptible to erosion and impacts associated with climate change related increases to sea level and increased wave energy. There is currently no data describing sediment movements and long-term shoreline changes to identify climate change impacts</w:t>
      </w:r>
    </w:p>
    <w:p w:rsidR="000E4357" w:rsidRDefault="000E4357" w:rsidP="000E4357">
      <w:pPr>
        <w:pStyle w:val="Bullets"/>
      </w:pPr>
      <w:r>
        <w:t>R</w:t>
      </w:r>
      <w:r w:rsidRPr="00B13E99">
        <w:t xml:space="preserve">ecorded information </w:t>
      </w:r>
      <w:r>
        <w:t xml:space="preserve">on </w:t>
      </w:r>
      <w:r w:rsidRPr="00B13E99">
        <w:t xml:space="preserve">waterbird counts were undertaken at only a few sites, or only for a short period of time, or </w:t>
      </w:r>
      <w:r>
        <w:t>were</w:t>
      </w:r>
      <w:r w:rsidRPr="00B13E99">
        <w:t xml:space="preserve"> collected in a manner that is not directly comparable across different years or sites, or had gaps where monitoring/counting was not undertaken at all</w:t>
      </w:r>
      <w:r>
        <w:t xml:space="preserve"> </w:t>
      </w:r>
      <w:r w:rsidRPr="00344F3C">
        <w:t xml:space="preserve">(refer </w:t>
      </w:r>
      <w:r>
        <w:t xml:space="preserve">data review in </w:t>
      </w:r>
      <w:r w:rsidRPr="00344F3C">
        <w:t xml:space="preserve">Appendix </w:t>
      </w:r>
      <w:r>
        <w:t>C</w:t>
      </w:r>
      <w:r w:rsidRPr="00344F3C">
        <w:t>).</w:t>
      </w:r>
      <w:r>
        <w:t xml:space="preserve"> The population of waterbirds in Corner Inlet has been relatively low since 1982, with the variations that can be observed over this time strongly correlated with rainfall. Curlew sandpiper have shown a decline over time, however the reason for this is not known and requires further investigation</w:t>
      </w:r>
    </w:p>
    <w:p w:rsidR="000E4357" w:rsidRDefault="000E4357" w:rsidP="000E4357">
      <w:pPr>
        <w:pStyle w:val="Bullets"/>
      </w:pPr>
      <w:r>
        <w:t>LACs are difficult to assess for fish because of their high variability in abundances and recruitment. Furthermore, there are no systematic data available to assess trends over time. This is an important gap in the context of assessing (i) potential future changes to Australian grayling; and (ii) trends in commercially significant species.</w:t>
      </w:r>
    </w:p>
    <w:p w:rsidR="000E4357" w:rsidRDefault="000E4357" w:rsidP="000E4357">
      <w:pPr>
        <w:pStyle w:val="Heading2"/>
        <w:ind w:left="851" w:hanging="851"/>
        <w:rPr>
          <w:color w:val="000000"/>
        </w:rPr>
      </w:pPr>
      <w:bookmarkStart w:id="33" w:name="_Ref234997667"/>
      <w:bookmarkStart w:id="34" w:name="_Toc295374245"/>
      <w:r w:rsidRPr="00AE031D">
        <w:rPr>
          <w:color w:val="000000"/>
        </w:rPr>
        <w:t>Monitoring Needs</w:t>
      </w:r>
      <w:bookmarkEnd w:id="33"/>
      <w:bookmarkEnd w:id="34"/>
    </w:p>
    <w:p w:rsidR="000E4357" w:rsidRDefault="000E4357" w:rsidP="000E4357">
      <w:pPr>
        <w:pStyle w:val="Text"/>
      </w:pPr>
      <w:r>
        <w:t>The Corner Inlet Ramsar Site Ecological Monitoring Program Brett Lane and Associates (2008) provided an overview of 34 existing and historical monitoring activities within the Corner Inlet Ramsar site, the majority based around water quality and waterbirds. There were significant gaps identified in the monitoring programs currently underway.</w:t>
      </w:r>
    </w:p>
    <w:p w:rsidR="000E4357" w:rsidRDefault="000E4357" w:rsidP="000E4357">
      <w:pPr>
        <w:pStyle w:val="Text"/>
      </w:pPr>
      <w:bookmarkStart w:id="35" w:name="_Ref235009834"/>
      <w:r>
        <w:t>In the context of the site’s status as a Ramsar site and in the context of the current ECD study, the primary monitoring needs relate to the need to assess the suitability of limits of acceptable change (versus natural variability) and to assess more definitively if changes to ecological character have occurred or are being approached. Principally, this monitoring should relate to:</w:t>
      </w:r>
    </w:p>
    <w:p w:rsidR="000E4357" w:rsidRDefault="000E4357" w:rsidP="000E4357">
      <w:pPr>
        <w:pStyle w:val="Bullets"/>
        <w:numPr>
          <w:ilvl w:val="0"/>
          <w:numId w:val="49"/>
        </w:numPr>
      </w:pPr>
      <w:r>
        <w:t>Broad-scale observation/monitoring of wetland habitat extent at representative wetland types within the site (noting that a logical precursor to this would be to establish a better correlation between Victorian wetland mapping and the Ramsar wetland type classification system).</w:t>
      </w:r>
    </w:p>
    <w:p w:rsidR="000E4357" w:rsidRDefault="000E4357" w:rsidP="000E4357">
      <w:pPr>
        <w:pStyle w:val="Bullets"/>
        <w:numPr>
          <w:ilvl w:val="0"/>
          <w:numId w:val="49"/>
        </w:numPr>
      </w:pPr>
      <w:r>
        <w:t>Habitat condition monitoring which should occur both as:</w:t>
      </w:r>
    </w:p>
    <w:p w:rsidR="000E4357" w:rsidRDefault="000E4357" w:rsidP="000E4357">
      <w:pPr>
        <w:pStyle w:val="Bullets"/>
        <w:numPr>
          <w:ilvl w:val="1"/>
          <w:numId w:val="49"/>
        </w:numPr>
      </w:pPr>
      <w:r>
        <w:lastRenderedPageBreak/>
        <w:t xml:space="preserve">long term analysis of vegetation community structure including identified trends in vegetation patterns in the freshwater fringing wetlands (particularly on the barrier islands); estuarine fringing wetlands (mangroves and saltmarsh); and seagrass meadows (focussing on </w:t>
      </w:r>
      <w:r w:rsidRPr="005D780C">
        <w:rPr>
          <w:i/>
        </w:rPr>
        <w:t>Posidonia</w:t>
      </w:r>
      <w:r>
        <w:t>, but also other more transient species)</w:t>
      </w:r>
    </w:p>
    <w:p w:rsidR="000E4357" w:rsidRDefault="000E4357" w:rsidP="000E4357">
      <w:pPr>
        <w:pStyle w:val="Bullets"/>
        <w:numPr>
          <w:ilvl w:val="1"/>
          <w:numId w:val="49"/>
        </w:numPr>
      </w:pPr>
      <w:r>
        <w:t>monitoring underlying wetland ecosystem processes such as hydrological process (both surface and groundwater), water quality and surrogate biological indicators for these processes</w:t>
      </w:r>
    </w:p>
    <w:p w:rsidR="000E4357" w:rsidRDefault="000E4357" w:rsidP="000E4357">
      <w:pPr>
        <w:pStyle w:val="Bullets"/>
        <w:numPr>
          <w:ilvl w:val="0"/>
          <w:numId w:val="49"/>
        </w:numPr>
      </w:pPr>
      <w:r>
        <w:t>More targeted surveys of the threatened flora and fauna species (perhaps on a five year or ten year basis) to assess presence/absence or population changes of noteworthy species or communities identified in the critical components. Specifically this should target presence and usage of the site (at various spatial scales) by growling grass frog, orange-bellied parrot and Australian grayling (see Critical Service/Benefit 1)</w:t>
      </w:r>
    </w:p>
    <w:p w:rsidR="000E4357" w:rsidRDefault="000E4357" w:rsidP="000E4357">
      <w:pPr>
        <w:pStyle w:val="Bullets"/>
        <w:numPr>
          <w:ilvl w:val="0"/>
          <w:numId w:val="49"/>
        </w:numPr>
      </w:pPr>
      <w:r>
        <w:t>More regular counts of all waterbirds in accordance with the monitoring regime envisioned by the LAC (refer Critical Component 2)</w:t>
      </w:r>
    </w:p>
    <w:p w:rsidR="000E4357" w:rsidRDefault="000E4357" w:rsidP="000E4357">
      <w:pPr>
        <w:pStyle w:val="Bullets"/>
        <w:numPr>
          <w:ilvl w:val="0"/>
          <w:numId w:val="49"/>
        </w:numPr>
      </w:pPr>
      <w:r>
        <w:t>More regular counts of breeding waterbirds at identified breeding colony sites (refer location and description of sites in the discussion of critical Process 1)</w:t>
      </w:r>
    </w:p>
    <w:p w:rsidR="000E4357" w:rsidRDefault="000E4357" w:rsidP="000E4357">
      <w:pPr>
        <w:pStyle w:val="Bullets"/>
        <w:numPr>
          <w:ilvl w:val="0"/>
          <w:numId w:val="49"/>
        </w:numPr>
      </w:pPr>
      <w:r>
        <w:t>Continued and more intensive survey and monitoring of recreationally and commercially important fish stocks including key nursery area and spawning sites (refer Critical Service/Benefit 2).</w:t>
      </w:r>
    </w:p>
    <w:p w:rsidR="000E4357" w:rsidRDefault="000E4357" w:rsidP="000E4357">
      <w:pPr>
        <w:pStyle w:val="Text"/>
      </w:pPr>
      <w:r>
        <w:t xml:space="preserve">Brett Lane and Associates (2008) provides a comprehensive monitoring plan to address many of these information gaps.  </w:t>
      </w:r>
    </w:p>
    <w:p w:rsidR="000E4357" w:rsidRPr="00F117E3" w:rsidRDefault="000E4357" w:rsidP="000E4357">
      <w:pPr>
        <w:pStyle w:val="Heading2"/>
        <w:ind w:left="851" w:hanging="851"/>
      </w:pPr>
      <w:bookmarkStart w:id="36" w:name="_Toc295374246"/>
      <w:bookmarkEnd w:id="35"/>
      <w:r w:rsidRPr="00F117E3">
        <w:t>Communication, Educa</w:t>
      </w:r>
      <w:r>
        <w:t xml:space="preserve">tion, Participation </w:t>
      </w:r>
      <w:r w:rsidRPr="00F117E3">
        <w:t>and Awareness Messages</w:t>
      </w:r>
      <w:bookmarkEnd w:id="36"/>
    </w:p>
    <w:p w:rsidR="000E4357" w:rsidRDefault="000E4357" w:rsidP="000E4357">
      <w:pPr>
        <w:pStyle w:val="Text"/>
      </w:pPr>
      <w:r>
        <w:t xml:space="preserve">Under the Ramsar Convention a Program of Communication, Education, Participation and Awareness (CEPA) was established to help raise awareness of wetland values and functions. At the Conference of Contracting Parties in </w:t>
      </w:r>
      <w:smartTag w:uri="urn:schemas-microsoft-com:office:smarttags" w:element="place">
        <w:smartTag w:uri="urn:schemas-microsoft-com:office:smarttags" w:element="country-region">
          <w:r>
            <w:t>Korea</w:t>
          </w:r>
        </w:smartTag>
      </w:smartTag>
      <w:r>
        <w:t xml:space="preserve"> in 2008, a resolution was made to continue the CEPA program in its third iteration for the next two triennia (2009 – 2015).</w:t>
      </w:r>
    </w:p>
    <w:p w:rsidR="000E4357" w:rsidRDefault="000E4357" w:rsidP="000E4357">
      <w:pPr>
        <w:pStyle w:val="Text"/>
      </w:pPr>
      <w:r>
        <w:t>The vision of the Ramsar Convention’s CEPA Program is: “People taking action for the wise use of wetlands.” To achieve this vision, three guiding principles have been developed:</w:t>
      </w:r>
    </w:p>
    <w:p w:rsidR="000E4357" w:rsidRDefault="000E4357" w:rsidP="000E4357">
      <w:pPr>
        <w:pStyle w:val="Bullets"/>
      </w:pPr>
      <w:r>
        <w:t>The CEPA Program offers tools to help people understand the values of wetlands so that they are motivated to become advocates for wetland conservation and wise use and may act to become involved in relevant policy formulation, planning and management</w:t>
      </w:r>
    </w:p>
    <w:p w:rsidR="000E4357" w:rsidRDefault="000E4357" w:rsidP="000E4357">
      <w:pPr>
        <w:pStyle w:val="Bullets"/>
      </w:pPr>
      <w:r>
        <w:t>The CEPA Program fosters the production of effective CEPA tools and expertise to engage major stakeholders’ participation in the wise use of wetlands and to convey appropriate messages in order to promote the wise use principle throughout society</w:t>
      </w:r>
    </w:p>
    <w:p w:rsidR="000E4357" w:rsidRDefault="000E4357" w:rsidP="000E4357">
      <w:pPr>
        <w:pStyle w:val="Bullets"/>
      </w:pPr>
      <w:r>
        <w:t xml:space="preserve">The Ramsar Convention believes that CEPA should form a central part of implementing the Convention by each Contracting Party. Investment in CEPA will increase the number of informed advocates, actors and networks involved in wetland issues and build an informed decision-making and public constituency. </w:t>
      </w:r>
    </w:p>
    <w:p w:rsidR="000E4357" w:rsidRDefault="000E4357" w:rsidP="000E4357">
      <w:pPr>
        <w:pStyle w:val="Text"/>
      </w:pPr>
      <w:r>
        <w:lastRenderedPageBreak/>
        <w:t xml:space="preserve">The Ramsar Convention encourages that communication, education, participation and awareness are used effectively at all levels, from local to international, to promote the value of wetlands. </w:t>
      </w:r>
    </w:p>
    <w:p w:rsidR="000E4357" w:rsidRDefault="000E4357" w:rsidP="000E4357">
      <w:pPr>
        <w:pStyle w:val="Text"/>
      </w:pPr>
      <w:r>
        <w:t xml:space="preserve">A comprehensive CEPA program for an individual Ramsar site is beyond the scope of an ECD, but key communication messages and CEPA actions, such as a community education program, can be used as a component of a management plan. </w:t>
      </w:r>
    </w:p>
    <w:p w:rsidR="000E4357" w:rsidRDefault="000E4357" w:rsidP="000E4357">
      <w:pPr>
        <w:pStyle w:val="Text"/>
      </w:pPr>
      <w:r>
        <w:t>One of the ten objectives of the strategic management plan for the Corner Inlet Ramsar site, Objective 8, is to ‘promote community awareness and understanding and provide opportunities for involvement in management’ (DSE 2003). The management objective is supported by four site management strategies in the management plan.</w:t>
      </w:r>
    </w:p>
    <w:p w:rsidR="000E4357" w:rsidRPr="00563BBA" w:rsidRDefault="000E4357" w:rsidP="000E4357">
      <w:pPr>
        <w:pStyle w:val="Text"/>
      </w:pPr>
      <w:r>
        <w:t xml:space="preserve">Key CEPA messages for the Ramsar site arising from this ECD, which should be promoted through </w:t>
      </w:r>
      <w:r w:rsidRPr="00563BBA">
        <w:t>this objective and associated actions, include:</w:t>
      </w:r>
    </w:p>
    <w:p w:rsidR="000E4357" w:rsidRPr="00563BBA" w:rsidRDefault="000E4357" w:rsidP="000E4357">
      <w:pPr>
        <w:pStyle w:val="Bullets"/>
      </w:pPr>
      <w:r w:rsidRPr="00563BBA">
        <w:t xml:space="preserve">The site is a wetland of international importance based on the critical </w:t>
      </w:r>
      <w:r>
        <w:t xml:space="preserve">and supporting </w:t>
      </w:r>
      <w:r w:rsidRPr="00563BBA">
        <w:t xml:space="preserve">components, processes and services/benefits </w:t>
      </w:r>
      <w:r>
        <w:t xml:space="preserve">(C/P/S) </w:t>
      </w:r>
      <w:r w:rsidRPr="00563BBA">
        <w:t>that it provides</w:t>
      </w:r>
      <w:r>
        <w:t>,</w:t>
      </w:r>
      <w:r w:rsidRPr="00563BBA">
        <w:t xml:space="preserve"> as described in this ECD</w:t>
      </w:r>
    </w:p>
    <w:p w:rsidR="000E4357" w:rsidRPr="00563BBA" w:rsidRDefault="000E4357" w:rsidP="000E4357">
      <w:pPr>
        <w:pStyle w:val="Bullets"/>
      </w:pPr>
      <w:r w:rsidRPr="00563BBA">
        <w:t xml:space="preserve">The critical and supporting </w:t>
      </w:r>
      <w:r>
        <w:t>components, processes and services/benefits</w:t>
      </w:r>
      <w:r w:rsidRPr="00563BBA">
        <w:t xml:space="preserve"> include the range of natural values under which the site has been listed as a Ramsar site as well as important social and scientific/research value</w:t>
      </w:r>
      <w:r>
        <w:t>s</w:t>
      </w:r>
    </w:p>
    <w:p w:rsidR="000E4357" w:rsidRPr="00563BBA" w:rsidRDefault="000E4357" w:rsidP="000E4357">
      <w:pPr>
        <w:pStyle w:val="Bullets"/>
      </w:pPr>
      <w:r w:rsidRPr="00563BBA">
        <w:t>The site provides habitat for threatened species and communities at the State, National and International level</w:t>
      </w:r>
    </w:p>
    <w:p w:rsidR="000E4357" w:rsidRPr="00563BBA" w:rsidRDefault="000E4357" w:rsidP="000E4357">
      <w:pPr>
        <w:pStyle w:val="Bullets"/>
      </w:pPr>
      <w:r>
        <w:t xml:space="preserve">Most of the site is managed for conservation purposes.  Most existing and future major threats are due to activities within the site’s catchments located outside the site. </w:t>
      </w:r>
    </w:p>
    <w:p w:rsidR="000E4357" w:rsidRPr="00563BBA" w:rsidRDefault="000E4357" w:rsidP="000E4357">
      <w:pPr>
        <w:pStyle w:val="Bullets"/>
      </w:pPr>
      <w:r w:rsidRPr="00563BBA">
        <w:t xml:space="preserve">Given the current and future threats, the site requires </w:t>
      </w:r>
      <w:r>
        <w:t>improved</w:t>
      </w:r>
      <w:r w:rsidRPr="00563BBA">
        <w:t xml:space="preserve"> ecological understanding for proper management and more detailed monitoring of changes to ecological character</w:t>
      </w:r>
    </w:p>
    <w:p w:rsidR="000E4357" w:rsidRPr="00563BBA" w:rsidRDefault="000E4357" w:rsidP="000E4357">
      <w:pPr>
        <w:pStyle w:val="Bullets"/>
      </w:pPr>
      <w:r w:rsidRPr="00563BBA">
        <w:t xml:space="preserve">The site </w:t>
      </w:r>
      <w:r>
        <w:t>is</w:t>
      </w:r>
      <w:r w:rsidRPr="00563BBA">
        <w:t xml:space="preserve"> </w:t>
      </w:r>
      <w:r>
        <w:t xml:space="preserve">managed following a </w:t>
      </w:r>
      <w:r w:rsidRPr="00563BBA">
        <w:t>joint management approach that engages landowners, land managers and site users in a manner that</w:t>
      </w:r>
      <w:r>
        <w:t xml:space="preserve"> aims to</w:t>
      </w:r>
      <w:r w:rsidRPr="00563BBA">
        <w:t xml:space="preserve"> maintain its ecological condition.</w:t>
      </w:r>
    </w:p>
    <w:p w:rsidR="000E4357" w:rsidRDefault="000E4357" w:rsidP="000E4357">
      <w:pPr>
        <w:pStyle w:val="Text"/>
      </w:pPr>
      <w:r>
        <w:t>Key stakeholders responsible for the communication of this central message include managers and site users, regulators, advisors and funders, and the broader community, as shown in</w:t>
      </w:r>
      <w:bookmarkStart w:id="37" w:name="_Ref235007346"/>
      <w:r>
        <w:t xml:space="preserve"> </w:t>
      </w:r>
      <w:r w:rsidR="00092695">
        <w:fldChar w:fldCharType="begin"/>
      </w:r>
      <w:r>
        <w:instrText xml:space="preserve"> REF _Ref280173355 \h </w:instrText>
      </w:r>
      <w:r w:rsidR="00092695">
        <w:fldChar w:fldCharType="separate"/>
      </w:r>
      <w:r>
        <w:t xml:space="preserve">Table </w:t>
      </w:r>
      <w:r>
        <w:rPr>
          <w:noProof/>
        </w:rPr>
        <w:t>6</w:t>
      </w:r>
      <w:r>
        <w:noBreakHyphen/>
      </w:r>
      <w:r>
        <w:rPr>
          <w:noProof/>
        </w:rPr>
        <w:t>1</w:t>
      </w:r>
      <w:r w:rsidR="00092695">
        <w:fldChar w:fldCharType="end"/>
      </w:r>
      <w:r>
        <w:t>.</w:t>
      </w:r>
    </w:p>
    <w:p w:rsidR="000E4357" w:rsidRDefault="000E4357" w:rsidP="000E4357">
      <w:pPr>
        <w:pStyle w:val="Text"/>
      </w:pPr>
      <w:r>
        <w:br w:type="page"/>
      </w:r>
    </w:p>
    <w:p w:rsidR="000E4357" w:rsidRDefault="000E4357" w:rsidP="000E4357">
      <w:pPr>
        <w:pStyle w:val="Caption"/>
      </w:pPr>
      <w:bookmarkStart w:id="38" w:name="_Ref280173355"/>
      <w:bookmarkStart w:id="39" w:name="_Toc295374290"/>
      <w:r>
        <w:lastRenderedPageBreak/>
        <w:t xml:space="preserve">Table </w:t>
      </w:r>
      <w:fldSimple w:instr=" STYLEREF 1 \s ">
        <w:r>
          <w:rPr>
            <w:noProof/>
          </w:rPr>
          <w:t>6</w:t>
        </w:r>
      </w:fldSimple>
      <w:r>
        <w:noBreakHyphen/>
      </w:r>
      <w:fldSimple w:instr=" SEQ Table \* ARABIC \s 1 ">
        <w:r>
          <w:rPr>
            <w:noProof/>
          </w:rPr>
          <w:t>1</w:t>
        </w:r>
      </w:fldSimple>
      <w:bookmarkEnd w:id="37"/>
      <w:bookmarkEnd w:id="38"/>
      <w:r>
        <w:t xml:space="preserve"> </w:t>
      </w:r>
      <w:r>
        <w:tab/>
        <w:t>Stakeholder Groups of the Relevance to the Corner Inlet Ramsar Site</w:t>
      </w:r>
      <w:bookmarkEnd w:id="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12"/>
        <w:gridCol w:w="6586"/>
      </w:tblGrid>
      <w:tr w:rsidR="000E4357" w:rsidRPr="009F4342" w:rsidTr="000F1040">
        <w:trPr>
          <w:tblHeader/>
        </w:trPr>
        <w:tc>
          <w:tcPr>
            <w:tcW w:w="2912" w:type="dxa"/>
            <w:shd w:val="clear" w:color="auto" w:fill="D9D9D9"/>
          </w:tcPr>
          <w:p w:rsidR="000E4357" w:rsidRPr="00DC6906" w:rsidRDefault="000E4357" w:rsidP="000F1040">
            <w:pPr>
              <w:pStyle w:val="TableHeading"/>
              <w:spacing w:before="120" w:after="120"/>
              <w:rPr>
                <w:rFonts w:ascii="Arial" w:hAnsi="Arial" w:cs="Arial"/>
              </w:rPr>
            </w:pPr>
            <w:r w:rsidRPr="00DC6906">
              <w:rPr>
                <w:rFonts w:ascii="Arial" w:hAnsi="Arial" w:cs="Arial"/>
              </w:rPr>
              <w:t>Stakeholder Group</w:t>
            </w:r>
          </w:p>
        </w:tc>
        <w:tc>
          <w:tcPr>
            <w:tcW w:w="6586" w:type="dxa"/>
            <w:shd w:val="clear" w:color="auto" w:fill="D9D9D9"/>
          </w:tcPr>
          <w:p w:rsidR="000E4357" w:rsidRPr="00DC6906" w:rsidRDefault="000E4357" w:rsidP="000F1040">
            <w:pPr>
              <w:pStyle w:val="TableHeading"/>
              <w:spacing w:before="120" w:after="120"/>
              <w:rPr>
                <w:rFonts w:ascii="Arial" w:hAnsi="Arial" w:cs="Arial"/>
              </w:rPr>
            </w:pPr>
            <w:r w:rsidRPr="00DC6906">
              <w:rPr>
                <w:rFonts w:ascii="Arial" w:hAnsi="Arial" w:cs="Arial"/>
              </w:rPr>
              <w:t>Stakeholders</w:t>
            </w:r>
          </w:p>
        </w:tc>
      </w:tr>
      <w:tr w:rsidR="000E4357" w:rsidRPr="009F4342" w:rsidTr="000F1040">
        <w:tc>
          <w:tcPr>
            <w:tcW w:w="2912" w:type="dxa"/>
          </w:tcPr>
          <w:p w:rsidR="000E4357" w:rsidRPr="00DC6906" w:rsidRDefault="000E4357" w:rsidP="000F1040">
            <w:pPr>
              <w:pStyle w:val="Table"/>
              <w:spacing w:before="120"/>
              <w:rPr>
                <w:rFonts w:ascii="Arial" w:hAnsi="Arial" w:cs="Arial"/>
              </w:rPr>
            </w:pPr>
            <w:r w:rsidRPr="00DC6906">
              <w:rPr>
                <w:rFonts w:ascii="Arial" w:hAnsi="Arial" w:cs="Arial"/>
              </w:rPr>
              <w:t>Managers and Users</w:t>
            </w:r>
          </w:p>
          <w:p w:rsidR="000E4357" w:rsidRPr="00DC6906" w:rsidRDefault="000E4357" w:rsidP="000F1040">
            <w:pPr>
              <w:pStyle w:val="Table"/>
              <w:spacing w:before="120"/>
              <w:rPr>
                <w:rFonts w:ascii="Arial" w:hAnsi="Arial" w:cs="Arial"/>
              </w:rPr>
            </w:pPr>
          </w:p>
        </w:tc>
        <w:tc>
          <w:tcPr>
            <w:tcW w:w="6586" w:type="dxa"/>
          </w:tcPr>
          <w:p w:rsidR="000E4357" w:rsidRPr="00DC6906" w:rsidRDefault="000E4357" w:rsidP="000F1040">
            <w:pPr>
              <w:pStyle w:val="Table"/>
              <w:spacing w:before="120"/>
              <w:rPr>
                <w:rFonts w:ascii="Arial" w:hAnsi="Arial" w:cs="Arial"/>
              </w:rPr>
            </w:pPr>
            <w:smartTag w:uri="urn:schemas-microsoft-com:office:smarttags" w:element="place">
              <w:r w:rsidRPr="00DC6906">
                <w:rPr>
                  <w:rFonts w:ascii="Arial" w:hAnsi="Arial" w:cs="Arial"/>
                </w:rPr>
                <w:t>West Gippsland</w:t>
              </w:r>
            </w:smartTag>
            <w:r w:rsidRPr="00DC6906">
              <w:rPr>
                <w:rFonts w:ascii="Arial" w:hAnsi="Arial" w:cs="Arial"/>
              </w:rPr>
              <w:t xml:space="preserve"> CMA</w:t>
            </w:r>
          </w:p>
          <w:p w:rsidR="000E4357" w:rsidRPr="00DC6906" w:rsidRDefault="000E4357" w:rsidP="000F1040">
            <w:pPr>
              <w:pStyle w:val="Table"/>
              <w:spacing w:before="120"/>
              <w:rPr>
                <w:rFonts w:ascii="Arial" w:hAnsi="Arial" w:cs="Arial"/>
              </w:rPr>
            </w:pPr>
            <w:r w:rsidRPr="00DC6906">
              <w:rPr>
                <w:rFonts w:ascii="Arial" w:hAnsi="Arial" w:cs="Arial"/>
              </w:rPr>
              <w:t xml:space="preserve">Parks </w:t>
            </w:r>
            <w:smartTag w:uri="urn:schemas-microsoft-com:office:smarttags" w:element="place">
              <w:smartTag w:uri="urn:schemas-microsoft-com:office:smarttags" w:element="State">
                <w:r w:rsidRPr="00DC6906">
                  <w:rPr>
                    <w:rFonts w:ascii="Arial" w:hAnsi="Arial" w:cs="Arial"/>
                  </w:rPr>
                  <w:t>Victoria</w:t>
                </w:r>
              </w:smartTag>
            </w:smartTag>
          </w:p>
          <w:p w:rsidR="000E4357" w:rsidRPr="00DC6906" w:rsidRDefault="000E4357" w:rsidP="000F1040">
            <w:pPr>
              <w:pStyle w:val="Table"/>
              <w:spacing w:before="120"/>
              <w:rPr>
                <w:rFonts w:ascii="Arial" w:hAnsi="Arial" w:cs="Arial"/>
              </w:rPr>
            </w:pPr>
            <w:r w:rsidRPr="00DC6906">
              <w:rPr>
                <w:rFonts w:ascii="Arial" w:hAnsi="Arial" w:cs="Arial"/>
              </w:rPr>
              <w:t>South Gippsland Shire (including relevant Committees of Management)</w:t>
            </w:r>
          </w:p>
          <w:p w:rsidR="000E4357" w:rsidRPr="00DC6906" w:rsidRDefault="000E4357" w:rsidP="000F1040">
            <w:pPr>
              <w:pStyle w:val="Table"/>
              <w:spacing w:before="120"/>
              <w:rPr>
                <w:rFonts w:ascii="Arial" w:hAnsi="Arial" w:cs="Arial"/>
              </w:rPr>
            </w:pPr>
            <w:r w:rsidRPr="00DC6906">
              <w:rPr>
                <w:rFonts w:ascii="Arial" w:hAnsi="Arial" w:cs="Arial"/>
              </w:rPr>
              <w:t>Wellington Shire (including relevant Committees of Management)</w:t>
            </w:r>
          </w:p>
          <w:p w:rsidR="000E4357" w:rsidRPr="00DC6906" w:rsidRDefault="000E4357" w:rsidP="000F1040">
            <w:pPr>
              <w:pStyle w:val="Table"/>
              <w:spacing w:before="120"/>
              <w:rPr>
                <w:rFonts w:ascii="Arial" w:hAnsi="Arial" w:cs="Arial"/>
              </w:rPr>
            </w:pPr>
            <w:r w:rsidRPr="00DC6906">
              <w:rPr>
                <w:rFonts w:ascii="Arial" w:hAnsi="Arial" w:cs="Arial"/>
              </w:rPr>
              <w:t>Department of Sustainability and Environment</w:t>
            </w:r>
          </w:p>
          <w:p w:rsidR="000E4357" w:rsidRPr="00DC6906" w:rsidRDefault="000E4357" w:rsidP="000F1040">
            <w:pPr>
              <w:pStyle w:val="Table"/>
              <w:spacing w:before="120"/>
              <w:rPr>
                <w:rFonts w:ascii="Arial" w:hAnsi="Arial" w:cs="Arial"/>
              </w:rPr>
            </w:pPr>
            <w:r w:rsidRPr="00DC6906">
              <w:rPr>
                <w:rFonts w:ascii="Arial" w:hAnsi="Arial" w:cs="Arial"/>
              </w:rPr>
              <w:t>Gippsland Ports</w:t>
            </w:r>
          </w:p>
          <w:p w:rsidR="000E4357" w:rsidRPr="00DC6906" w:rsidRDefault="000E4357" w:rsidP="000F1040">
            <w:pPr>
              <w:pStyle w:val="Table"/>
              <w:spacing w:before="120"/>
              <w:rPr>
                <w:rFonts w:ascii="Arial" w:hAnsi="Arial" w:cs="Arial"/>
              </w:rPr>
            </w:pPr>
            <w:r w:rsidRPr="00DC6906">
              <w:rPr>
                <w:rFonts w:ascii="Arial" w:hAnsi="Arial" w:cs="Arial"/>
              </w:rPr>
              <w:t>Department of Primary Industries</w:t>
            </w:r>
          </w:p>
          <w:p w:rsidR="000E4357" w:rsidRPr="00DC6906" w:rsidRDefault="000E4357" w:rsidP="000F1040">
            <w:pPr>
              <w:pStyle w:val="Table"/>
              <w:spacing w:before="120"/>
              <w:rPr>
                <w:rFonts w:ascii="Arial" w:hAnsi="Arial" w:cs="Arial"/>
              </w:rPr>
            </w:pPr>
            <w:r w:rsidRPr="00DC6906">
              <w:rPr>
                <w:rFonts w:ascii="Arial" w:hAnsi="Arial" w:cs="Arial"/>
              </w:rPr>
              <w:t>South Gippsland Water Authority</w:t>
            </w:r>
          </w:p>
          <w:p w:rsidR="000E4357" w:rsidRPr="00DC6906" w:rsidRDefault="000E4357" w:rsidP="000F1040">
            <w:pPr>
              <w:pStyle w:val="Table"/>
              <w:spacing w:before="120"/>
              <w:rPr>
                <w:rFonts w:ascii="Arial" w:hAnsi="Arial" w:cs="Arial"/>
              </w:rPr>
            </w:pPr>
            <w:r w:rsidRPr="00DC6906">
              <w:rPr>
                <w:rFonts w:ascii="Arial" w:hAnsi="Arial" w:cs="Arial"/>
              </w:rPr>
              <w:t>Gippsland Coastal Board</w:t>
            </w:r>
          </w:p>
          <w:p w:rsidR="000E4357" w:rsidRPr="00DC6906" w:rsidRDefault="000E4357" w:rsidP="000F1040">
            <w:pPr>
              <w:pStyle w:val="Table"/>
              <w:spacing w:before="120"/>
              <w:rPr>
                <w:rFonts w:ascii="Arial" w:hAnsi="Arial" w:cs="Arial"/>
              </w:rPr>
            </w:pPr>
            <w:r w:rsidRPr="00DC6906">
              <w:rPr>
                <w:rFonts w:ascii="Arial" w:hAnsi="Arial" w:cs="Arial"/>
              </w:rPr>
              <w:t>Landholders</w:t>
            </w:r>
          </w:p>
          <w:p w:rsidR="000E4357" w:rsidRPr="00DC6906" w:rsidRDefault="000E4357" w:rsidP="000F1040">
            <w:pPr>
              <w:pStyle w:val="Table"/>
              <w:spacing w:before="120"/>
              <w:rPr>
                <w:rFonts w:ascii="Arial" w:hAnsi="Arial" w:cs="Arial"/>
              </w:rPr>
            </w:pPr>
            <w:r w:rsidRPr="00DC6906">
              <w:rPr>
                <w:rFonts w:ascii="Arial" w:hAnsi="Arial" w:cs="Arial"/>
              </w:rPr>
              <w:t>Corner Inlet Fisheries Association</w:t>
            </w:r>
          </w:p>
        </w:tc>
      </w:tr>
      <w:tr w:rsidR="000E4357" w:rsidRPr="009F4342" w:rsidTr="000F1040">
        <w:tc>
          <w:tcPr>
            <w:tcW w:w="2912" w:type="dxa"/>
          </w:tcPr>
          <w:p w:rsidR="000E4357" w:rsidRPr="00DC6906" w:rsidRDefault="000E4357" w:rsidP="000F1040">
            <w:pPr>
              <w:pStyle w:val="Table"/>
              <w:spacing w:before="120"/>
              <w:rPr>
                <w:rFonts w:ascii="Arial" w:hAnsi="Arial" w:cs="Arial"/>
              </w:rPr>
            </w:pPr>
            <w:r w:rsidRPr="00DC6906">
              <w:rPr>
                <w:rFonts w:ascii="Arial" w:hAnsi="Arial" w:cs="Arial"/>
              </w:rPr>
              <w:t>Regulators</w:t>
            </w:r>
          </w:p>
        </w:tc>
        <w:tc>
          <w:tcPr>
            <w:tcW w:w="6586" w:type="dxa"/>
          </w:tcPr>
          <w:p w:rsidR="000E4357" w:rsidRPr="00DC6906" w:rsidRDefault="000E4357" w:rsidP="000F1040">
            <w:pPr>
              <w:pStyle w:val="Table"/>
              <w:spacing w:before="120"/>
              <w:rPr>
                <w:rFonts w:ascii="Arial" w:hAnsi="Arial" w:cs="Arial"/>
              </w:rPr>
            </w:pPr>
            <w:r w:rsidRPr="00DC6906">
              <w:rPr>
                <w:rFonts w:ascii="Arial" w:hAnsi="Arial" w:cs="Arial"/>
              </w:rPr>
              <w:t>Environment Protection Authority</w:t>
            </w:r>
          </w:p>
          <w:p w:rsidR="000E4357" w:rsidRPr="00DC6906" w:rsidRDefault="000E4357" w:rsidP="000F1040">
            <w:pPr>
              <w:pStyle w:val="Table"/>
              <w:spacing w:before="120"/>
              <w:rPr>
                <w:rFonts w:ascii="Arial" w:hAnsi="Arial" w:cs="Arial"/>
              </w:rPr>
            </w:pPr>
            <w:r>
              <w:rPr>
                <w:rFonts w:ascii="Arial" w:hAnsi="Arial" w:cs="Arial"/>
              </w:rPr>
              <w:t>DSEWPAC</w:t>
            </w:r>
            <w:r w:rsidRPr="00DC6906">
              <w:rPr>
                <w:rFonts w:ascii="Arial" w:hAnsi="Arial" w:cs="Arial"/>
              </w:rPr>
              <w:t xml:space="preserve"> (EPBC)</w:t>
            </w:r>
          </w:p>
          <w:p w:rsidR="000E4357" w:rsidRPr="00DC6906" w:rsidRDefault="000E4357" w:rsidP="000F1040">
            <w:pPr>
              <w:pStyle w:val="Table"/>
              <w:spacing w:before="120"/>
              <w:rPr>
                <w:rFonts w:ascii="Arial" w:hAnsi="Arial" w:cs="Arial"/>
              </w:rPr>
            </w:pPr>
            <w:r w:rsidRPr="00DC6906">
              <w:rPr>
                <w:rFonts w:ascii="Arial" w:hAnsi="Arial" w:cs="Arial"/>
              </w:rPr>
              <w:t>Department of Sustainability and Environment</w:t>
            </w:r>
          </w:p>
          <w:p w:rsidR="000E4357" w:rsidRPr="00DC6906" w:rsidRDefault="000E4357" w:rsidP="000F1040">
            <w:pPr>
              <w:pStyle w:val="Table"/>
              <w:spacing w:before="120"/>
              <w:rPr>
                <w:rFonts w:ascii="Arial" w:hAnsi="Arial" w:cs="Arial"/>
              </w:rPr>
            </w:pPr>
            <w:r w:rsidRPr="00DC6906">
              <w:rPr>
                <w:rFonts w:ascii="Arial" w:hAnsi="Arial" w:cs="Arial"/>
              </w:rPr>
              <w:t>Department of Primary Industries (Fisheries)</w:t>
            </w:r>
          </w:p>
        </w:tc>
      </w:tr>
      <w:tr w:rsidR="000E4357" w:rsidRPr="009F4342" w:rsidTr="000F1040">
        <w:tc>
          <w:tcPr>
            <w:tcW w:w="2912" w:type="dxa"/>
          </w:tcPr>
          <w:p w:rsidR="000E4357" w:rsidRPr="00DC6906" w:rsidRDefault="000E4357" w:rsidP="000F1040">
            <w:pPr>
              <w:pStyle w:val="Table"/>
              <w:spacing w:before="120"/>
              <w:rPr>
                <w:rFonts w:ascii="Arial" w:hAnsi="Arial" w:cs="Arial"/>
              </w:rPr>
            </w:pPr>
            <w:r w:rsidRPr="00DC6906">
              <w:rPr>
                <w:rFonts w:ascii="Arial" w:hAnsi="Arial" w:cs="Arial"/>
              </w:rPr>
              <w:t>Advisors and Funders</w:t>
            </w:r>
          </w:p>
          <w:p w:rsidR="000E4357" w:rsidRPr="00DC6906" w:rsidRDefault="000E4357" w:rsidP="000F1040">
            <w:pPr>
              <w:pStyle w:val="Table"/>
              <w:spacing w:before="120"/>
              <w:rPr>
                <w:rFonts w:ascii="Arial" w:hAnsi="Arial" w:cs="Arial"/>
              </w:rPr>
            </w:pPr>
          </w:p>
        </w:tc>
        <w:tc>
          <w:tcPr>
            <w:tcW w:w="6586" w:type="dxa"/>
          </w:tcPr>
          <w:p w:rsidR="000E4357" w:rsidRPr="00DC6906" w:rsidRDefault="000E4357" w:rsidP="000F1040">
            <w:pPr>
              <w:pStyle w:val="Table"/>
              <w:spacing w:before="120"/>
              <w:rPr>
                <w:rFonts w:ascii="Arial" w:hAnsi="Arial" w:cs="Arial"/>
              </w:rPr>
            </w:pPr>
            <w:r>
              <w:rPr>
                <w:rFonts w:ascii="Arial" w:hAnsi="Arial" w:cs="Arial"/>
              </w:rPr>
              <w:t>Australian</w:t>
            </w:r>
            <w:r w:rsidRPr="00DC6906">
              <w:rPr>
                <w:rFonts w:ascii="Arial" w:hAnsi="Arial" w:cs="Arial"/>
              </w:rPr>
              <w:t xml:space="preserve"> Government – DAFF and </w:t>
            </w:r>
            <w:r>
              <w:rPr>
                <w:rFonts w:ascii="Arial" w:hAnsi="Arial" w:cs="Arial"/>
              </w:rPr>
              <w:t>DSEWPAC</w:t>
            </w:r>
          </w:p>
          <w:p w:rsidR="000E4357" w:rsidRPr="00DC6906" w:rsidRDefault="000E4357" w:rsidP="000F1040">
            <w:pPr>
              <w:pStyle w:val="Table"/>
              <w:spacing w:before="120"/>
              <w:rPr>
                <w:rFonts w:ascii="Arial" w:hAnsi="Arial" w:cs="Arial"/>
              </w:rPr>
            </w:pPr>
            <w:r w:rsidRPr="00DC6906">
              <w:rPr>
                <w:rFonts w:ascii="Arial" w:hAnsi="Arial" w:cs="Arial"/>
              </w:rPr>
              <w:t>Consultants and Contractors</w:t>
            </w:r>
          </w:p>
          <w:p w:rsidR="000E4357" w:rsidRPr="00DC6906" w:rsidRDefault="000E4357" w:rsidP="000F1040">
            <w:pPr>
              <w:pStyle w:val="Table"/>
              <w:spacing w:before="120"/>
              <w:rPr>
                <w:rFonts w:ascii="Arial" w:hAnsi="Arial" w:cs="Arial"/>
              </w:rPr>
            </w:pPr>
            <w:r w:rsidRPr="00DC6906">
              <w:rPr>
                <w:rFonts w:ascii="Arial" w:hAnsi="Arial" w:cs="Arial"/>
              </w:rPr>
              <w:t>Universities and Researchers:</w:t>
            </w:r>
          </w:p>
          <w:p w:rsidR="000E4357" w:rsidRPr="00DC6906" w:rsidRDefault="000E4357" w:rsidP="000F1040">
            <w:pPr>
              <w:pStyle w:val="Table"/>
              <w:spacing w:before="120"/>
              <w:rPr>
                <w:rFonts w:ascii="Arial" w:hAnsi="Arial" w:cs="Arial"/>
              </w:rPr>
            </w:pPr>
            <w:r w:rsidRPr="00DC6906">
              <w:rPr>
                <w:rFonts w:ascii="Arial" w:hAnsi="Arial" w:cs="Arial"/>
              </w:rPr>
              <w:t>CSIRO</w:t>
            </w:r>
          </w:p>
          <w:p w:rsidR="000E4357" w:rsidRPr="00DC6906" w:rsidRDefault="000E4357" w:rsidP="000F1040">
            <w:pPr>
              <w:pStyle w:val="Table"/>
              <w:spacing w:before="120"/>
              <w:rPr>
                <w:rFonts w:ascii="Arial" w:hAnsi="Arial" w:cs="Arial"/>
              </w:rPr>
            </w:pPr>
            <w:smartTag w:uri="urn:schemas-microsoft-com:office:smarttags" w:element="place">
              <w:smartTag w:uri="urn:schemas-microsoft-com:office:smarttags" w:element="PlaceType">
                <w:r w:rsidRPr="00DC6906">
                  <w:rPr>
                    <w:rFonts w:ascii="Arial" w:hAnsi="Arial" w:cs="Arial"/>
                  </w:rPr>
                  <w:t>University</w:t>
                </w:r>
              </w:smartTag>
              <w:r w:rsidRPr="00DC6906">
                <w:rPr>
                  <w:rFonts w:ascii="Arial" w:hAnsi="Arial" w:cs="Arial"/>
                </w:rPr>
                <w:t xml:space="preserve"> of </w:t>
              </w:r>
              <w:smartTag w:uri="urn:schemas-microsoft-com:office:smarttags" w:element="PlaceName">
                <w:r w:rsidRPr="00DC6906">
                  <w:rPr>
                    <w:rFonts w:ascii="Arial" w:hAnsi="Arial" w:cs="Arial"/>
                  </w:rPr>
                  <w:t>Melbourne</w:t>
                </w:r>
              </w:smartTag>
            </w:smartTag>
          </w:p>
          <w:p w:rsidR="000E4357" w:rsidRPr="00DC6906" w:rsidRDefault="000E4357" w:rsidP="000F1040">
            <w:pPr>
              <w:pStyle w:val="Table"/>
              <w:spacing w:before="120"/>
              <w:rPr>
                <w:rFonts w:ascii="Arial" w:hAnsi="Arial" w:cs="Arial"/>
              </w:rPr>
            </w:pPr>
            <w:smartTag w:uri="urn:schemas-microsoft-com:office:smarttags" w:element="place">
              <w:smartTag w:uri="urn:schemas-microsoft-com:office:smarttags" w:element="PlaceName">
                <w:r w:rsidRPr="00DC6906">
                  <w:rPr>
                    <w:rFonts w:ascii="Arial" w:hAnsi="Arial" w:cs="Arial"/>
                  </w:rPr>
                  <w:t>Monash</w:t>
                </w:r>
              </w:smartTag>
              <w:r w:rsidRPr="00DC6906">
                <w:rPr>
                  <w:rFonts w:ascii="Arial" w:hAnsi="Arial" w:cs="Arial"/>
                </w:rPr>
                <w:t xml:space="preserve"> </w:t>
              </w:r>
              <w:smartTag w:uri="urn:schemas-microsoft-com:office:smarttags" w:element="PlaceType">
                <w:r w:rsidRPr="00DC6906">
                  <w:rPr>
                    <w:rFonts w:ascii="Arial" w:hAnsi="Arial" w:cs="Arial"/>
                  </w:rPr>
                  <w:t>University</w:t>
                </w:r>
              </w:smartTag>
            </w:smartTag>
          </w:p>
        </w:tc>
      </w:tr>
      <w:tr w:rsidR="000E4357" w:rsidRPr="009F4342" w:rsidTr="000F1040">
        <w:tc>
          <w:tcPr>
            <w:tcW w:w="2912" w:type="dxa"/>
          </w:tcPr>
          <w:p w:rsidR="000E4357" w:rsidRPr="00DC6906" w:rsidRDefault="000E4357" w:rsidP="000F1040">
            <w:pPr>
              <w:pStyle w:val="Table"/>
              <w:spacing w:before="120"/>
              <w:rPr>
                <w:rFonts w:ascii="Arial" w:hAnsi="Arial" w:cs="Arial"/>
              </w:rPr>
            </w:pPr>
            <w:r w:rsidRPr="00DC6906">
              <w:rPr>
                <w:rFonts w:ascii="Arial" w:hAnsi="Arial" w:cs="Arial"/>
              </w:rPr>
              <w:t>Broader Community</w:t>
            </w:r>
          </w:p>
          <w:p w:rsidR="000E4357" w:rsidRPr="00DC6906" w:rsidRDefault="000E4357" w:rsidP="000F1040">
            <w:pPr>
              <w:pStyle w:val="Table"/>
              <w:spacing w:before="120"/>
              <w:rPr>
                <w:rFonts w:ascii="Arial" w:hAnsi="Arial" w:cs="Arial"/>
              </w:rPr>
            </w:pPr>
          </w:p>
        </w:tc>
        <w:tc>
          <w:tcPr>
            <w:tcW w:w="6586" w:type="dxa"/>
          </w:tcPr>
          <w:p w:rsidR="000E4357" w:rsidRPr="00DC6906" w:rsidRDefault="000E4357" w:rsidP="000F1040">
            <w:pPr>
              <w:pStyle w:val="Table"/>
              <w:spacing w:before="120"/>
              <w:rPr>
                <w:rFonts w:ascii="Arial" w:hAnsi="Arial" w:cs="Arial"/>
              </w:rPr>
            </w:pPr>
            <w:r w:rsidRPr="00DC6906">
              <w:rPr>
                <w:rFonts w:ascii="Arial" w:hAnsi="Arial" w:cs="Arial"/>
              </w:rPr>
              <w:t>Landholders</w:t>
            </w:r>
          </w:p>
          <w:p w:rsidR="000E4357" w:rsidRPr="00DC6906" w:rsidRDefault="000E4357" w:rsidP="000F1040">
            <w:pPr>
              <w:pStyle w:val="Table"/>
              <w:spacing w:before="120"/>
              <w:rPr>
                <w:rFonts w:ascii="Arial" w:hAnsi="Arial" w:cs="Arial"/>
              </w:rPr>
            </w:pPr>
            <w:r w:rsidRPr="00DC6906">
              <w:rPr>
                <w:rFonts w:ascii="Arial" w:hAnsi="Arial" w:cs="Arial"/>
              </w:rPr>
              <w:t xml:space="preserve">Environment </w:t>
            </w:r>
            <w:smartTag w:uri="urn:schemas-microsoft-com:office:smarttags" w:element="place">
              <w:smartTag w:uri="urn:schemas-microsoft-com:office:smarttags" w:element="State">
                <w:r w:rsidRPr="00DC6906">
                  <w:rPr>
                    <w:rFonts w:ascii="Arial" w:hAnsi="Arial" w:cs="Arial"/>
                  </w:rPr>
                  <w:t>Victoria</w:t>
                </w:r>
              </w:smartTag>
            </w:smartTag>
          </w:p>
          <w:p w:rsidR="000E4357" w:rsidRPr="00DC6906" w:rsidRDefault="000E4357" w:rsidP="000F1040">
            <w:pPr>
              <w:pStyle w:val="Table"/>
              <w:spacing w:before="120"/>
              <w:rPr>
                <w:rFonts w:ascii="Arial" w:hAnsi="Arial" w:cs="Arial"/>
              </w:rPr>
            </w:pPr>
            <w:r w:rsidRPr="00DC6906">
              <w:rPr>
                <w:rFonts w:ascii="Arial" w:hAnsi="Arial" w:cs="Arial"/>
              </w:rPr>
              <w:t xml:space="preserve">Birds </w:t>
            </w:r>
            <w:smartTag w:uri="urn:schemas-microsoft-com:office:smarttags" w:element="country-region">
              <w:r w:rsidRPr="00DC6906">
                <w:rPr>
                  <w:rFonts w:ascii="Arial" w:hAnsi="Arial" w:cs="Arial"/>
                </w:rPr>
                <w:t>Australia</w:t>
              </w:r>
            </w:smartTag>
            <w:r w:rsidRPr="00DC6906">
              <w:rPr>
                <w:rFonts w:ascii="Arial" w:hAnsi="Arial" w:cs="Arial"/>
              </w:rPr>
              <w:t xml:space="preserve"> - </w:t>
            </w:r>
            <w:smartTag w:uri="urn:schemas-microsoft-com:office:smarttags" w:element="place">
              <w:smartTag w:uri="urn:schemas-microsoft-com:office:smarttags" w:element="State">
                <w:r w:rsidRPr="00DC6906">
                  <w:rPr>
                    <w:rFonts w:ascii="Arial" w:hAnsi="Arial" w:cs="Arial"/>
                  </w:rPr>
                  <w:t>Victoria</w:t>
                </w:r>
              </w:smartTag>
            </w:smartTag>
          </w:p>
          <w:p w:rsidR="000E4357" w:rsidRPr="00DC6906" w:rsidRDefault="000E4357" w:rsidP="000F1040">
            <w:pPr>
              <w:pStyle w:val="Table"/>
              <w:spacing w:before="120"/>
              <w:rPr>
                <w:rFonts w:ascii="Arial" w:hAnsi="Arial" w:cs="Arial"/>
              </w:rPr>
            </w:pPr>
            <w:r w:rsidRPr="00DC6906">
              <w:rPr>
                <w:rFonts w:ascii="Arial" w:hAnsi="Arial" w:cs="Arial"/>
              </w:rPr>
              <w:t>Commercial Fishing Industry</w:t>
            </w:r>
          </w:p>
          <w:p w:rsidR="000E4357" w:rsidRPr="00DC6906" w:rsidRDefault="000E4357" w:rsidP="000F1040">
            <w:pPr>
              <w:pStyle w:val="Table"/>
              <w:spacing w:before="120"/>
              <w:rPr>
                <w:rFonts w:ascii="Arial" w:hAnsi="Arial" w:cs="Arial"/>
              </w:rPr>
            </w:pPr>
            <w:r w:rsidRPr="00DC6906">
              <w:rPr>
                <w:rFonts w:ascii="Arial" w:hAnsi="Arial" w:cs="Arial"/>
              </w:rPr>
              <w:t>General Public</w:t>
            </w:r>
          </w:p>
        </w:tc>
      </w:tr>
    </w:tbl>
    <w:p w:rsidR="006B14DB" w:rsidRPr="00EA416C" w:rsidRDefault="006B14DB" w:rsidP="00A9381D">
      <w:pPr>
        <w:pStyle w:val="Heading0"/>
      </w:pPr>
    </w:p>
    <w:sectPr w:rsidR="006B14DB" w:rsidRPr="00EA416C" w:rsidSect="000E4357">
      <w:pgSz w:w="11907" w:h="16840"/>
      <w:pgMar w:top="1418" w:right="1134" w:bottom="1418" w:left="1276" w:header="851" w:footer="21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81D" w:rsidRDefault="00A9381D" w:rsidP="00A60185">
      <w:r>
        <w:separator/>
      </w:r>
    </w:p>
  </w:endnote>
  <w:endnote w:type="continuationSeparator" w:id="0">
    <w:p w:rsidR="00A9381D" w:rsidRDefault="00A9381D" w:rsidP="00A6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D0" w:rsidRDefault="008D56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9381D" w:rsidRDefault="00092695">
        <w:pPr>
          <w:jc w:val="center"/>
        </w:pPr>
        <w:fldSimple w:instr=" PAGE   \* MERGEFORMAT ">
          <w:r w:rsidR="008D56D0">
            <w:rPr>
              <w:noProof/>
            </w:rPr>
            <w:t>99</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D0" w:rsidRDefault="008D56D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357" w:rsidRDefault="00092695" w:rsidP="00FB1F30">
    <w:pPr>
      <w:pStyle w:val="Footer"/>
      <w:pBdr>
        <w:top w:val="single" w:sz="6" w:space="4" w:color="auto"/>
      </w:pBdr>
      <w:tabs>
        <w:tab w:val="clear" w:pos="4153"/>
        <w:tab w:val="clear" w:pos="8306"/>
        <w:tab w:val="left" w:pos="1134"/>
        <w:tab w:val="right" w:pos="9072"/>
      </w:tabs>
      <w:ind w:left="0"/>
      <w:jc w:val="right"/>
    </w:pPr>
    <w:r>
      <w:rPr>
        <w:rStyle w:val="PageNumber"/>
        <w:i w:val="0"/>
      </w:rPr>
      <w:fldChar w:fldCharType="begin"/>
    </w:r>
    <w:r w:rsidR="000E4357">
      <w:rPr>
        <w:rStyle w:val="PageNumber"/>
        <w:i w:val="0"/>
      </w:rPr>
      <w:instrText xml:space="preserve"> PAGE  \* MERGEFORMAT </w:instrText>
    </w:r>
    <w:r>
      <w:rPr>
        <w:rStyle w:val="PageNumber"/>
        <w:i w:val="0"/>
      </w:rPr>
      <w:fldChar w:fldCharType="separate"/>
    </w:r>
    <w:r w:rsidR="00495AD7" w:rsidRPr="00495AD7">
      <w:rPr>
        <w:rStyle w:val="PageNumber"/>
        <w:bCs/>
        <w:i w:val="0"/>
        <w:noProof/>
        <w:lang w:val="en-US"/>
      </w:rPr>
      <w:t>99</w:t>
    </w:r>
    <w:r>
      <w:rPr>
        <w:rStyle w:val="PageNumber"/>
        <w:i w:val="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357" w:rsidRDefault="00092695" w:rsidP="00FB1F30">
    <w:pPr>
      <w:pStyle w:val="Footer"/>
      <w:pBdr>
        <w:top w:val="single" w:sz="6" w:space="4" w:color="auto"/>
      </w:pBdr>
      <w:tabs>
        <w:tab w:val="clear" w:pos="4153"/>
        <w:tab w:val="clear" w:pos="8306"/>
        <w:tab w:val="left" w:pos="1134"/>
        <w:tab w:val="right" w:pos="14034"/>
      </w:tabs>
      <w:ind w:left="0"/>
      <w:jc w:val="right"/>
    </w:pPr>
    <w:r>
      <w:rPr>
        <w:rStyle w:val="PageNumber"/>
        <w:i w:val="0"/>
      </w:rPr>
      <w:fldChar w:fldCharType="begin"/>
    </w:r>
    <w:r w:rsidR="000E4357">
      <w:rPr>
        <w:rStyle w:val="PageNumber"/>
        <w:i w:val="0"/>
      </w:rPr>
      <w:instrText xml:space="preserve"> PAGE  \* MERGEFORMAT </w:instrText>
    </w:r>
    <w:r>
      <w:rPr>
        <w:rStyle w:val="PageNumber"/>
        <w:i w:val="0"/>
      </w:rPr>
      <w:fldChar w:fldCharType="separate"/>
    </w:r>
    <w:r w:rsidR="00495AD7" w:rsidRPr="00495AD7">
      <w:rPr>
        <w:rStyle w:val="PageNumber"/>
        <w:bCs/>
        <w:i w:val="0"/>
        <w:noProof/>
        <w:lang w:val="en-US"/>
      </w:rPr>
      <w:t>118</w:t>
    </w:r>
    <w:r>
      <w:rPr>
        <w:rStyle w:val="PageNumber"/>
        <w:i w:val="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1D" w:rsidRPr="00633404" w:rsidRDefault="00092695" w:rsidP="00622B59">
    <w:pPr>
      <w:pStyle w:val="Footer"/>
      <w:pBdr>
        <w:top w:val="single" w:sz="6" w:space="4" w:color="auto"/>
      </w:pBdr>
      <w:tabs>
        <w:tab w:val="clear" w:pos="4153"/>
        <w:tab w:val="clear" w:pos="8306"/>
        <w:tab w:val="right" w:pos="13916"/>
      </w:tabs>
      <w:ind w:left="0"/>
      <w:jc w:val="right"/>
      <w:rPr>
        <w:rStyle w:val="PageNumber"/>
        <w:b w:val="0"/>
        <w:i w:val="0"/>
        <w:sz w:val="16"/>
        <w:szCs w:val="16"/>
      </w:rPr>
    </w:pPr>
    <w:r w:rsidRPr="00633404">
      <w:rPr>
        <w:rStyle w:val="PageNumber"/>
        <w:b w:val="0"/>
        <w:i w:val="0"/>
        <w:sz w:val="16"/>
        <w:szCs w:val="16"/>
      </w:rPr>
      <w:fldChar w:fldCharType="begin"/>
    </w:r>
    <w:r w:rsidR="00A9381D" w:rsidRPr="00633404">
      <w:rPr>
        <w:rStyle w:val="PageNumber"/>
        <w:b w:val="0"/>
        <w:i w:val="0"/>
        <w:sz w:val="16"/>
        <w:szCs w:val="16"/>
      </w:rPr>
      <w:instrText xml:space="preserve"> PAGE  \* MERGEFORMAT </w:instrText>
    </w:r>
    <w:r w:rsidRPr="00633404">
      <w:rPr>
        <w:rStyle w:val="PageNumber"/>
        <w:b w:val="0"/>
        <w:i w:val="0"/>
        <w:sz w:val="16"/>
        <w:szCs w:val="16"/>
      </w:rPr>
      <w:fldChar w:fldCharType="separate"/>
    </w:r>
    <w:r w:rsidR="008D56D0">
      <w:rPr>
        <w:rStyle w:val="PageNumber"/>
        <w:b w:val="0"/>
        <w:i w:val="0"/>
        <w:noProof/>
        <w:sz w:val="16"/>
        <w:szCs w:val="16"/>
      </w:rPr>
      <w:t>100</w:t>
    </w:r>
    <w:r w:rsidRPr="00633404">
      <w:rPr>
        <w:rStyle w:val="PageNumber"/>
        <w:b w:val="0"/>
        <w:i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81D" w:rsidRDefault="00A9381D" w:rsidP="00A60185">
      <w:r>
        <w:separator/>
      </w:r>
    </w:p>
  </w:footnote>
  <w:footnote w:type="continuationSeparator" w:id="0">
    <w:p w:rsidR="00A9381D" w:rsidRDefault="00A9381D"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1D" w:rsidRDefault="00092695" w:rsidP="00E45765">
    <w:fldSimple w:instr=" DOCPROPERTY SecurityClassification \* MERGEFORMAT "/>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D0" w:rsidRDefault="008D56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D0" w:rsidRDefault="008D56D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357" w:rsidRDefault="00092695" w:rsidP="000F71D3">
    <w:pPr>
      <w:pStyle w:val="Header"/>
      <w:pBdr>
        <w:bottom w:val="single" w:sz="4" w:space="1" w:color="auto"/>
      </w:pBdr>
      <w:tabs>
        <w:tab w:val="clear" w:pos="9072"/>
        <w:tab w:val="right" w:pos="9639"/>
        <w:tab w:val="right" w:pos="14034"/>
        <w:tab w:val="right" w:pos="20978"/>
      </w:tabs>
    </w:pPr>
    <w:fldSimple w:instr=" STYLEREF &quot;Heading 1&quot; \* MERGEFORMAT ">
      <w:r w:rsidR="00495AD7">
        <w:rPr>
          <w:noProof/>
        </w:rPr>
        <w:t>Changes to Ecological Character and Threats</w:t>
      </w:r>
    </w:fldSimple>
    <w:r w:rsidR="000E4357">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357" w:rsidRDefault="00092695" w:rsidP="000F71D3">
    <w:pPr>
      <w:pStyle w:val="Header"/>
      <w:pBdr>
        <w:bottom w:val="single" w:sz="4" w:space="1" w:color="auto"/>
      </w:pBdr>
      <w:tabs>
        <w:tab w:val="clear" w:pos="9072"/>
        <w:tab w:val="right" w:pos="14034"/>
        <w:tab w:val="right" w:pos="20978"/>
      </w:tabs>
    </w:pPr>
    <w:fldSimple w:instr=" STYLEREF &quot;Heading 1&quot; \* MERGEFORMAT ">
      <w:r w:rsidR="00495AD7">
        <w:rPr>
          <w:noProof/>
        </w:rPr>
        <w:t>Information Gaps, Monitoring And Education</w:t>
      </w:r>
    </w:fldSimple>
    <w:r w:rsidR="000E4357">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1D" w:rsidRDefault="00092695" w:rsidP="00EF6BD4">
    <w:pPr>
      <w:pStyle w:val="Header"/>
    </w:pPr>
    <w:r>
      <w:fldChar w:fldCharType="begin"/>
    </w:r>
    <w:r w:rsidR="00A9381D">
      <w:instrText xml:space="preserve"> STYLEREF "Heading 0" \* MERGEFORMAT </w:instrText>
    </w:r>
    <w:r>
      <w:fldChar w:fldCharType="end"/>
    </w:r>
    <w:r w:rsidR="00A9381D">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8EF44E"/>
    <w:lvl w:ilvl="0">
      <w:start w:val="1"/>
      <w:numFmt w:val="decimal"/>
      <w:lvlText w:val="%1."/>
      <w:lvlJc w:val="left"/>
      <w:pPr>
        <w:tabs>
          <w:tab w:val="num" w:pos="1492"/>
        </w:tabs>
        <w:ind w:left="1492" w:hanging="360"/>
      </w:pPr>
    </w:lvl>
  </w:abstractNum>
  <w:abstractNum w:abstractNumId="1">
    <w:nsid w:val="FFFFFF7D"/>
    <w:multiLevelType w:val="singleLevel"/>
    <w:tmpl w:val="E12CF21E"/>
    <w:lvl w:ilvl="0">
      <w:start w:val="1"/>
      <w:numFmt w:val="decimal"/>
      <w:lvlText w:val="%1."/>
      <w:lvlJc w:val="left"/>
      <w:pPr>
        <w:tabs>
          <w:tab w:val="num" w:pos="1209"/>
        </w:tabs>
        <w:ind w:left="1209" w:hanging="360"/>
      </w:pPr>
    </w:lvl>
  </w:abstractNum>
  <w:abstractNum w:abstractNumId="2">
    <w:nsid w:val="FFFFFF7E"/>
    <w:multiLevelType w:val="singleLevel"/>
    <w:tmpl w:val="A0626866"/>
    <w:lvl w:ilvl="0">
      <w:start w:val="1"/>
      <w:numFmt w:val="decimal"/>
      <w:lvlText w:val="%1."/>
      <w:lvlJc w:val="left"/>
      <w:pPr>
        <w:tabs>
          <w:tab w:val="num" w:pos="926"/>
        </w:tabs>
        <w:ind w:left="926" w:hanging="360"/>
      </w:pPr>
    </w:lvl>
  </w:abstractNum>
  <w:abstractNum w:abstractNumId="3">
    <w:nsid w:val="FFFFFF7F"/>
    <w:multiLevelType w:val="singleLevel"/>
    <w:tmpl w:val="6170882E"/>
    <w:lvl w:ilvl="0">
      <w:start w:val="1"/>
      <w:numFmt w:val="decimal"/>
      <w:lvlText w:val="%1."/>
      <w:lvlJc w:val="left"/>
      <w:pPr>
        <w:tabs>
          <w:tab w:val="num" w:pos="643"/>
        </w:tabs>
        <w:ind w:left="643" w:hanging="360"/>
      </w:pPr>
    </w:lvl>
  </w:abstractNum>
  <w:abstractNum w:abstractNumId="4">
    <w:nsid w:val="FFFFFF88"/>
    <w:multiLevelType w:val="singleLevel"/>
    <w:tmpl w:val="444688BA"/>
    <w:lvl w:ilvl="0">
      <w:start w:val="1"/>
      <w:numFmt w:val="decimal"/>
      <w:lvlText w:val="%1."/>
      <w:lvlJc w:val="left"/>
      <w:pPr>
        <w:tabs>
          <w:tab w:val="num" w:pos="360"/>
        </w:tabs>
        <w:ind w:left="360" w:hanging="360"/>
      </w:pPr>
    </w:lvl>
  </w:abstractNum>
  <w:abstractNum w:abstractNumId="5">
    <w:nsid w:val="FFFFFFFB"/>
    <w:multiLevelType w:val="multilevel"/>
    <w:tmpl w:val="61520DF0"/>
    <w:lvl w:ilvl="0">
      <w:start w:val="5"/>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upperLetter"/>
      <w:pStyle w:val="Heading9"/>
      <w:lvlText w:val="APPENDIX %9:"/>
      <w:lvlJc w:val="left"/>
      <w:pPr>
        <w:ind w:left="2268" w:firstLine="0"/>
      </w:pPr>
      <w:rPr>
        <w:rFonts w:hint="default"/>
      </w:rPr>
    </w:lvl>
  </w:abstractNum>
  <w:abstractNum w:abstractNumId="6">
    <w:nsid w:val="FFFFFFFE"/>
    <w:multiLevelType w:val="singleLevel"/>
    <w:tmpl w:val="16FC1FC6"/>
    <w:lvl w:ilvl="0">
      <w:numFmt w:val="decimal"/>
      <w:lvlText w:val="*"/>
      <w:lvlJc w:val="left"/>
    </w:lvl>
  </w:abstractNum>
  <w:abstractNum w:abstractNumId="7">
    <w:nsid w:val="00DB12F9"/>
    <w:multiLevelType w:val="hybridMultilevel"/>
    <w:tmpl w:val="26C8414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01984C45"/>
    <w:multiLevelType w:val="hybridMultilevel"/>
    <w:tmpl w:val="8000DC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05ED17E3"/>
    <w:multiLevelType w:val="hybridMultilevel"/>
    <w:tmpl w:val="45067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863ECD"/>
    <w:multiLevelType w:val="hybridMultilevel"/>
    <w:tmpl w:val="11182C8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8367F8"/>
    <w:multiLevelType w:val="hybridMultilevel"/>
    <w:tmpl w:val="A8AE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D3A1F94"/>
    <w:multiLevelType w:val="hybridMultilevel"/>
    <w:tmpl w:val="593CD7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3">
    <w:nsid w:val="0FB96B1C"/>
    <w:multiLevelType w:val="hybridMultilevel"/>
    <w:tmpl w:val="BB72A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154A8"/>
    <w:multiLevelType w:val="hybridMultilevel"/>
    <w:tmpl w:val="080058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11CB3A05"/>
    <w:multiLevelType w:val="hybridMultilevel"/>
    <w:tmpl w:val="2B361492"/>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4D50F6"/>
    <w:multiLevelType w:val="hybridMultilevel"/>
    <w:tmpl w:val="47EA460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7">
    <w:nsid w:val="14FB0BE4"/>
    <w:multiLevelType w:val="hybridMultilevel"/>
    <w:tmpl w:val="C396DFA2"/>
    <w:lvl w:ilvl="0" w:tplc="0409000F">
      <w:start w:val="1"/>
      <w:numFmt w:val="decimal"/>
      <w:lvlText w:val="%1."/>
      <w:lvlJc w:val="left"/>
      <w:pPr>
        <w:tabs>
          <w:tab w:val="num" w:pos="1931"/>
        </w:tabs>
        <w:ind w:left="1931" w:hanging="360"/>
      </w:p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18">
    <w:nsid w:val="15EB178C"/>
    <w:multiLevelType w:val="hybridMultilevel"/>
    <w:tmpl w:val="240A12EA"/>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nsid w:val="18DC5BE8"/>
    <w:multiLevelType w:val="hybridMultilevel"/>
    <w:tmpl w:val="2506C904"/>
    <w:lvl w:ilvl="0" w:tplc="04090001">
      <w:start w:val="1"/>
      <w:numFmt w:val="bullet"/>
      <w:lvlText w:val=""/>
      <w:lvlJc w:val="left"/>
      <w:pPr>
        <w:tabs>
          <w:tab w:val="num" w:pos="1211"/>
        </w:tabs>
        <w:ind w:left="1211" w:hanging="360"/>
      </w:pPr>
      <w:rPr>
        <w:rFonts w:ascii="Symbol" w:hAnsi="Symbol" w:hint="default"/>
      </w:rPr>
    </w:lvl>
    <w:lvl w:ilvl="1" w:tplc="04090001">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0">
    <w:nsid w:val="1AAD1844"/>
    <w:multiLevelType w:val="hybridMultilevel"/>
    <w:tmpl w:val="536CAA7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1CA06142"/>
    <w:multiLevelType w:val="hybridMultilevel"/>
    <w:tmpl w:val="B8066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3E15C6"/>
    <w:multiLevelType w:val="hybridMultilevel"/>
    <w:tmpl w:val="F1D65348"/>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86C6AAA"/>
    <w:multiLevelType w:val="hybridMultilevel"/>
    <w:tmpl w:val="A3543F4E"/>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nsid w:val="299909A5"/>
    <w:multiLevelType w:val="hybridMultilevel"/>
    <w:tmpl w:val="63EA7B44"/>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nsid w:val="2AFD6E1A"/>
    <w:multiLevelType w:val="multilevel"/>
    <w:tmpl w:val="14FC85C6"/>
    <w:lvl w:ilvl="0">
      <w:start w:val="1"/>
      <w:numFmt w:val="decimal"/>
      <w:pStyle w:val="Numbers"/>
      <w:lvlText w:val="%1"/>
      <w:lvlJc w:val="left"/>
      <w:pPr>
        <w:tabs>
          <w:tab w:val="num" w:pos="1105"/>
        </w:tabs>
        <w:ind w:left="1105"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B173C3C"/>
    <w:multiLevelType w:val="hybridMultilevel"/>
    <w:tmpl w:val="2CA8AE0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C5E47AC"/>
    <w:multiLevelType w:val="hybridMultilevel"/>
    <w:tmpl w:val="8B303F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9">
    <w:nsid w:val="3AC60208"/>
    <w:multiLevelType w:val="hybridMultilevel"/>
    <w:tmpl w:val="4CDE64B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nsid w:val="3D2E40B2"/>
    <w:multiLevelType w:val="hybridMultilevel"/>
    <w:tmpl w:val="49D83FF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DB0590A"/>
    <w:multiLevelType w:val="hybridMultilevel"/>
    <w:tmpl w:val="17846AE0"/>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2">
    <w:nsid w:val="455C2B33"/>
    <w:multiLevelType w:val="hybridMultilevel"/>
    <w:tmpl w:val="F1E2248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9E6441F"/>
    <w:multiLevelType w:val="hybridMultilevel"/>
    <w:tmpl w:val="7338AB80"/>
    <w:lvl w:ilvl="0" w:tplc="743C82E6">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nsid w:val="4C464F17"/>
    <w:multiLevelType w:val="hybridMultilevel"/>
    <w:tmpl w:val="E5243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344BA5"/>
    <w:multiLevelType w:val="hybridMultilevel"/>
    <w:tmpl w:val="A17C9D8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6">
    <w:nsid w:val="59810133"/>
    <w:multiLevelType w:val="hybridMultilevel"/>
    <w:tmpl w:val="72E6535A"/>
    <w:lvl w:ilvl="0" w:tplc="0EA08924">
      <w:start w:val="1"/>
      <w:numFmt w:val="bullet"/>
      <w:lvlText w:val=""/>
      <w:lvlJc w:val="left"/>
      <w:pPr>
        <w:tabs>
          <w:tab w:val="num" w:pos="1211"/>
        </w:tabs>
        <w:ind w:left="1211" w:hanging="360"/>
      </w:pPr>
      <w:rPr>
        <w:rFonts w:ascii="Symbol" w:hAnsi="Symbol" w:hint="default"/>
      </w:rPr>
    </w:lvl>
    <w:lvl w:ilvl="1" w:tplc="06B6D8B0">
      <w:start w:val="1"/>
      <w:numFmt w:val="decimal"/>
      <w:lvlText w:val="%2."/>
      <w:lvlJc w:val="left"/>
      <w:pPr>
        <w:tabs>
          <w:tab w:val="num" w:pos="2075"/>
        </w:tabs>
        <w:ind w:left="2075" w:hanging="504"/>
      </w:pPr>
      <w:rPr>
        <w:rFonts w:hint="default"/>
      </w:rPr>
    </w:lvl>
    <w:lvl w:ilvl="2" w:tplc="4F8C261C">
      <w:start w:val="1"/>
      <w:numFmt w:val="lowerLetter"/>
      <w:lvlText w:val="%3."/>
      <w:lvlJc w:val="left"/>
      <w:pPr>
        <w:tabs>
          <w:tab w:val="num" w:pos="2831"/>
        </w:tabs>
        <w:ind w:left="2831" w:hanging="360"/>
      </w:pPr>
      <w:rPr>
        <w:rFonts w:hint="default"/>
      </w:r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7">
    <w:nsid w:val="5FC97082"/>
    <w:multiLevelType w:val="hybridMultilevel"/>
    <w:tmpl w:val="C8E228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0334914"/>
    <w:multiLevelType w:val="hybridMultilevel"/>
    <w:tmpl w:val="E8A22760"/>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9">
    <w:nsid w:val="61F539D5"/>
    <w:multiLevelType w:val="hybridMultilevel"/>
    <w:tmpl w:val="9FD2B00A"/>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0">
    <w:nsid w:val="64F01FE0"/>
    <w:multiLevelType w:val="hybridMultilevel"/>
    <w:tmpl w:val="9C5CEB9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71E3AF6"/>
    <w:multiLevelType w:val="hybridMultilevel"/>
    <w:tmpl w:val="93C8EFA0"/>
    <w:lvl w:ilvl="0" w:tplc="D1CE81B8">
      <w:start w:val="1"/>
      <w:numFmt w:val="decimal"/>
      <w:lvlText w:val="%1."/>
      <w:lvlJc w:val="left"/>
      <w:pPr>
        <w:tabs>
          <w:tab w:val="num" w:pos="1211"/>
        </w:tabs>
        <w:ind w:left="1211" w:hanging="360"/>
      </w:pPr>
      <w:rPr>
        <w:rFonts w:hint="default"/>
      </w:rPr>
    </w:lvl>
    <w:lvl w:ilvl="1" w:tplc="0EA08924">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42">
    <w:nsid w:val="6F6E1F61"/>
    <w:multiLevelType w:val="hybridMultilevel"/>
    <w:tmpl w:val="1BEEEED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6FDB0621"/>
    <w:multiLevelType w:val="hybridMultilevel"/>
    <w:tmpl w:val="9BFED7D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nsid w:val="70A36FD7"/>
    <w:multiLevelType w:val="hybridMultilevel"/>
    <w:tmpl w:val="B5D411F8"/>
    <w:lvl w:ilvl="0" w:tplc="04090001">
      <w:start w:val="1"/>
      <w:numFmt w:val="bullet"/>
      <w:lvlText w:val=""/>
      <w:lvlJc w:val="left"/>
      <w:pPr>
        <w:tabs>
          <w:tab w:val="num" w:pos="1040"/>
        </w:tabs>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45">
    <w:nsid w:val="74BD54ED"/>
    <w:multiLevelType w:val="hybridMultilevel"/>
    <w:tmpl w:val="A0F0903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6">
    <w:nsid w:val="753F4DC6"/>
    <w:multiLevelType w:val="hybridMultilevel"/>
    <w:tmpl w:val="44D03752"/>
    <w:lvl w:ilvl="0" w:tplc="6C321D7E">
      <w:start w:val="1"/>
      <w:numFmt w:val="bullet"/>
      <w:pStyle w:val="Bullets"/>
      <w:lvlText w:val=""/>
      <w:lvlJc w:val="left"/>
      <w:pPr>
        <w:tabs>
          <w:tab w:val="num" w:pos="1247"/>
        </w:tabs>
        <w:ind w:left="1247" w:hanging="39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C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6FC63C9"/>
    <w:multiLevelType w:val="hybridMultilevel"/>
    <w:tmpl w:val="B9C2DA2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num w:numId="1">
    <w:abstractNumId w:val="46"/>
  </w:num>
  <w:num w:numId="2">
    <w:abstractNumId w:val="5"/>
  </w:num>
  <w:num w:numId="3">
    <w:abstractNumId w:val="26"/>
  </w:num>
  <w:num w:numId="4">
    <w:abstractNumId w:val="4"/>
  </w:num>
  <w:num w:numId="5">
    <w:abstractNumId w:val="3"/>
  </w:num>
  <w:num w:numId="6">
    <w:abstractNumId w:val="2"/>
  </w:num>
  <w:num w:numId="7">
    <w:abstractNumId w:val="1"/>
  </w:num>
  <w:num w:numId="8">
    <w:abstractNumId w:val="0"/>
  </w:num>
  <w:num w:numId="9">
    <w:abstractNumId w:val="32"/>
  </w:num>
  <w:num w:numId="10">
    <w:abstractNumId w:val="30"/>
  </w:num>
  <w:num w:numId="11">
    <w:abstractNumId w:val="27"/>
  </w:num>
  <w:num w:numId="12">
    <w:abstractNumId w:val="15"/>
  </w:num>
  <w:num w:numId="13">
    <w:abstractNumId w:val="40"/>
  </w:num>
  <w:num w:numId="14">
    <w:abstractNumId w:val="23"/>
  </w:num>
  <w:num w:numId="15">
    <w:abstractNumId w:val="39"/>
  </w:num>
  <w:num w:numId="16">
    <w:abstractNumId w:val="37"/>
  </w:num>
  <w:num w:numId="17">
    <w:abstractNumId w:val="6"/>
    <w:lvlOverride w:ilvl="0">
      <w:lvl w:ilvl="0">
        <w:numFmt w:val="bullet"/>
        <w:lvlText w:val="•"/>
        <w:legacy w:legacy="1" w:legacySpace="0" w:legacyIndent="0"/>
        <w:lvlJc w:val="left"/>
        <w:rPr>
          <w:rFonts w:ascii="Arial" w:hAnsi="Arial" w:cs="Arial" w:hint="default"/>
          <w:sz w:val="24"/>
        </w:rPr>
      </w:lvl>
    </w:lvlOverride>
  </w:num>
  <w:num w:numId="18">
    <w:abstractNumId w:val="19"/>
  </w:num>
  <w:num w:numId="19">
    <w:abstractNumId w:val="22"/>
  </w:num>
  <w:num w:numId="20">
    <w:abstractNumId w:val="38"/>
  </w:num>
  <w:num w:numId="21">
    <w:abstractNumId w:val="18"/>
  </w:num>
  <w:num w:numId="22">
    <w:abstractNumId w:val="12"/>
  </w:num>
  <w:num w:numId="23">
    <w:abstractNumId w:val="16"/>
  </w:num>
  <w:num w:numId="24">
    <w:abstractNumId w:val="34"/>
  </w:num>
  <w:num w:numId="25">
    <w:abstractNumId w:val="9"/>
  </w:num>
  <w:num w:numId="26">
    <w:abstractNumId w:val="21"/>
  </w:num>
  <w:num w:numId="27">
    <w:abstractNumId w:val="11"/>
  </w:num>
  <w:num w:numId="28">
    <w:abstractNumId w:val="47"/>
  </w:num>
  <w:num w:numId="29">
    <w:abstractNumId w:val="20"/>
  </w:num>
  <w:num w:numId="30">
    <w:abstractNumId w:val="41"/>
  </w:num>
  <w:num w:numId="31">
    <w:abstractNumId w:val="36"/>
  </w:num>
  <w:num w:numId="32">
    <w:abstractNumId w:val="28"/>
  </w:num>
  <w:num w:numId="33">
    <w:abstractNumId w:val="46"/>
    <w:lvlOverride w:ilvl="0">
      <w:startOverride w:val="1"/>
    </w:lvlOverride>
  </w:num>
  <w:num w:numId="34">
    <w:abstractNumId w:val="14"/>
  </w:num>
  <w:num w:numId="35">
    <w:abstractNumId w:val="44"/>
  </w:num>
  <w:num w:numId="36">
    <w:abstractNumId w:val="43"/>
  </w:num>
  <w:num w:numId="37">
    <w:abstractNumId w:val="42"/>
  </w:num>
  <w:num w:numId="38">
    <w:abstractNumId w:val="35"/>
  </w:num>
  <w:num w:numId="39">
    <w:abstractNumId w:val="33"/>
  </w:num>
  <w:num w:numId="40">
    <w:abstractNumId w:val="7"/>
  </w:num>
  <w:num w:numId="41">
    <w:abstractNumId w:val="10"/>
  </w:num>
  <w:num w:numId="42">
    <w:abstractNumId w:val="25"/>
  </w:num>
  <w:num w:numId="43">
    <w:abstractNumId w:val="45"/>
  </w:num>
  <w:num w:numId="44">
    <w:abstractNumId w:val="17"/>
  </w:num>
  <w:num w:numId="45">
    <w:abstractNumId w:val="29"/>
  </w:num>
  <w:num w:numId="46">
    <w:abstractNumId w:val="31"/>
  </w:num>
  <w:num w:numId="47">
    <w:abstractNumId w:val="13"/>
  </w:num>
  <w:num w:numId="48">
    <w:abstractNumId w:val="8"/>
  </w:num>
  <w:num w:numId="49">
    <w:abstractNumId w:val="2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drawingGridHorizontalSpacing w:val="99"/>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docVars>
    <w:docVar w:name="SecurityClassificationInHeader" w:val="False"/>
  </w:docVars>
  <w:rsids>
    <w:rsidRoot w:val="002B2798"/>
    <w:rsid w:val="00004AEE"/>
    <w:rsid w:val="00005CAA"/>
    <w:rsid w:val="00010210"/>
    <w:rsid w:val="00012D66"/>
    <w:rsid w:val="00015ADA"/>
    <w:rsid w:val="00020C99"/>
    <w:rsid w:val="0002707B"/>
    <w:rsid w:val="0005148E"/>
    <w:rsid w:val="000759E5"/>
    <w:rsid w:val="00084AC6"/>
    <w:rsid w:val="00091608"/>
    <w:rsid w:val="00092695"/>
    <w:rsid w:val="0009333C"/>
    <w:rsid w:val="000953DA"/>
    <w:rsid w:val="0009704F"/>
    <w:rsid w:val="000A0F11"/>
    <w:rsid w:val="000A125A"/>
    <w:rsid w:val="000A57CD"/>
    <w:rsid w:val="000B3758"/>
    <w:rsid w:val="000B7681"/>
    <w:rsid w:val="000B7B42"/>
    <w:rsid w:val="000C02B7"/>
    <w:rsid w:val="000C5342"/>
    <w:rsid w:val="000C706A"/>
    <w:rsid w:val="000D2887"/>
    <w:rsid w:val="000D6D63"/>
    <w:rsid w:val="000E0081"/>
    <w:rsid w:val="000E07CF"/>
    <w:rsid w:val="000E4357"/>
    <w:rsid w:val="00100BEF"/>
    <w:rsid w:val="0011498E"/>
    <w:rsid w:val="00117A45"/>
    <w:rsid w:val="001224AE"/>
    <w:rsid w:val="001337D4"/>
    <w:rsid w:val="00136DDA"/>
    <w:rsid w:val="00147C12"/>
    <w:rsid w:val="001527A1"/>
    <w:rsid w:val="001530DC"/>
    <w:rsid w:val="00154989"/>
    <w:rsid w:val="00155A9F"/>
    <w:rsid w:val="00160262"/>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B2798"/>
    <w:rsid w:val="002C1C93"/>
    <w:rsid w:val="002C5066"/>
    <w:rsid w:val="002D4AAC"/>
    <w:rsid w:val="002F045A"/>
    <w:rsid w:val="0030039D"/>
    <w:rsid w:val="0030326F"/>
    <w:rsid w:val="00310701"/>
    <w:rsid w:val="00315980"/>
    <w:rsid w:val="00316F7F"/>
    <w:rsid w:val="003218E8"/>
    <w:rsid w:val="00330DCE"/>
    <w:rsid w:val="00331BF5"/>
    <w:rsid w:val="00331E11"/>
    <w:rsid w:val="00334761"/>
    <w:rsid w:val="00337EBC"/>
    <w:rsid w:val="00341DCD"/>
    <w:rsid w:val="0034563E"/>
    <w:rsid w:val="003518D6"/>
    <w:rsid w:val="0035460C"/>
    <w:rsid w:val="003556BD"/>
    <w:rsid w:val="00365147"/>
    <w:rsid w:val="0037016E"/>
    <w:rsid w:val="00372908"/>
    <w:rsid w:val="00383020"/>
    <w:rsid w:val="003975FD"/>
    <w:rsid w:val="003B60CC"/>
    <w:rsid w:val="003C1B25"/>
    <w:rsid w:val="003C2443"/>
    <w:rsid w:val="003C5DA3"/>
    <w:rsid w:val="003D4BCD"/>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95AD7"/>
    <w:rsid w:val="004A0678"/>
    <w:rsid w:val="004A48A3"/>
    <w:rsid w:val="004B0D92"/>
    <w:rsid w:val="004B0EC0"/>
    <w:rsid w:val="004B66F1"/>
    <w:rsid w:val="004C3EA0"/>
    <w:rsid w:val="004F7169"/>
    <w:rsid w:val="00500D66"/>
    <w:rsid w:val="00514C8E"/>
    <w:rsid w:val="00531DBF"/>
    <w:rsid w:val="00545759"/>
    <w:rsid w:val="00545BE0"/>
    <w:rsid w:val="00554C6A"/>
    <w:rsid w:val="00562E85"/>
    <w:rsid w:val="0056332F"/>
    <w:rsid w:val="00581C39"/>
    <w:rsid w:val="005903B6"/>
    <w:rsid w:val="005A0247"/>
    <w:rsid w:val="005A126E"/>
    <w:rsid w:val="005A452F"/>
    <w:rsid w:val="005B140D"/>
    <w:rsid w:val="005C1FEA"/>
    <w:rsid w:val="005C3495"/>
    <w:rsid w:val="005E3DFC"/>
    <w:rsid w:val="005E60AF"/>
    <w:rsid w:val="005F1DEA"/>
    <w:rsid w:val="00607FC9"/>
    <w:rsid w:val="00622B59"/>
    <w:rsid w:val="00622FE1"/>
    <w:rsid w:val="0062521C"/>
    <w:rsid w:val="00630A2B"/>
    <w:rsid w:val="00632DC7"/>
    <w:rsid w:val="00633404"/>
    <w:rsid w:val="006357FB"/>
    <w:rsid w:val="006406FC"/>
    <w:rsid w:val="00646122"/>
    <w:rsid w:val="00653E16"/>
    <w:rsid w:val="00657220"/>
    <w:rsid w:val="0066104B"/>
    <w:rsid w:val="006655EE"/>
    <w:rsid w:val="00667C10"/>
    <w:rsid w:val="00667EF4"/>
    <w:rsid w:val="00676FCA"/>
    <w:rsid w:val="00677177"/>
    <w:rsid w:val="0068612E"/>
    <w:rsid w:val="00687C92"/>
    <w:rsid w:val="0069534E"/>
    <w:rsid w:val="0069669C"/>
    <w:rsid w:val="006A1200"/>
    <w:rsid w:val="006A4F4E"/>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55D8A"/>
    <w:rsid w:val="0075732A"/>
    <w:rsid w:val="00760262"/>
    <w:rsid w:val="0076310C"/>
    <w:rsid w:val="0076744F"/>
    <w:rsid w:val="00767BCE"/>
    <w:rsid w:val="00767EFC"/>
    <w:rsid w:val="007707DE"/>
    <w:rsid w:val="00770B5D"/>
    <w:rsid w:val="007752F1"/>
    <w:rsid w:val="00776768"/>
    <w:rsid w:val="007A028A"/>
    <w:rsid w:val="007A2573"/>
    <w:rsid w:val="007B106C"/>
    <w:rsid w:val="007B1A4E"/>
    <w:rsid w:val="007B3D05"/>
    <w:rsid w:val="007B5503"/>
    <w:rsid w:val="007C6BB3"/>
    <w:rsid w:val="007D14B4"/>
    <w:rsid w:val="007D3AD7"/>
    <w:rsid w:val="007E24F6"/>
    <w:rsid w:val="00800F64"/>
    <w:rsid w:val="008027BD"/>
    <w:rsid w:val="00802F0B"/>
    <w:rsid w:val="00810A67"/>
    <w:rsid w:val="00833CF7"/>
    <w:rsid w:val="00845601"/>
    <w:rsid w:val="00855C5C"/>
    <w:rsid w:val="008A3C96"/>
    <w:rsid w:val="008B4019"/>
    <w:rsid w:val="008B65C9"/>
    <w:rsid w:val="008C2D4A"/>
    <w:rsid w:val="008D3900"/>
    <w:rsid w:val="008D56D0"/>
    <w:rsid w:val="008D6E1D"/>
    <w:rsid w:val="008F39B4"/>
    <w:rsid w:val="008F4162"/>
    <w:rsid w:val="00903E02"/>
    <w:rsid w:val="00913175"/>
    <w:rsid w:val="00916EDB"/>
    <w:rsid w:val="00920861"/>
    <w:rsid w:val="00922B13"/>
    <w:rsid w:val="009242EF"/>
    <w:rsid w:val="00932291"/>
    <w:rsid w:val="0093408E"/>
    <w:rsid w:val="00952DDF"/>
    <w:rsid w:val="009812D4"/>
    <w:rsid w:val="009920D8"/>
    <w:rsid w:val="009B1FD9"/>
    <w:rsid w:val="009B38BE"/>
    <w:rsid w:val="009B55B6"/>
    <w:rsid w:val="009C3D0F"/>
    <w:rsid w:val="009D1E25"/>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10D6"/>
    <w:rsid w:val="00A661EA"/>
    <w:rsid w:val="00A830E5"/>
    <w:rsid w:val="00A87135"/>
    <w:rsid w:val="00A93280"/>
    <w:rsid w:val="00A9381D"/>
    <w:rsid w:val="00A951EA"/>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53EC"/>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504F"/>
    <w:rsid w:val="00C63376"/>
    <w:rsid w:val="00C74F97"/>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D0462"/>
    <w:rsid w:val="00EE3146"/>
    <w:rsid w:val="00EF50BB"/>
    <w:rsid w:val="00EF6BD4"/>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B2798"/>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2B2798"/>
    <w:pPr>
      <w:keepNext/>
      <w:numPr>
        <w:numId w:val="2"/>
      </w:numPr>
      <w:spacing w:after="6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2B2798"/>
    <w:pPr>
      <w:numPr>
        <w:ilvl w:val="1"/>
      </w:numPr>
      <w:ind w:right="1701"/>
      <w:outlineLvl w:val="1"/>
    </w:pPr>
    <w:rPr>
      <w:smallCaps w:val="0"/>
      <w:sz w:val="28"/>
    </w:rPr>
  </w:style>
  <w:style w:type="paragraph" w:styleId="Heading3">
    <w:name w:val="heading 3"/>
    <w:basedOn w:val="Heading2"/>
    <w:next w:val="Text"/>
    <w:link w:val="Heading3Char"/>
    <w:qFormat/>
    <w:rsid w:val="002B2798"/>
    <w:pPr>
      <w:numPr>
        <w:ilvl w:val="2"/>
      </w:numPr>
      <w:outlineLvl w:val="2"/>
    </w:pPr>
    <w:rPr>
      <w:sz w:val="24"/>
    </w:rPr>
  </w:style>
  <w:style w:type="paragraph" w:styleId="Heading4">
    <w:name w:val="heading 4"/>
    <w:aliases w:val="H-4"/>
    <w:basedOn w:val="Heading3"/>
    <w:next w:val="Text"/>
    <w:link w:val="Heading4Char"/>
    <w:qFormat/>
    <w:rsid w:val="002B2798"/>
    <w:pPr>
      <w:numPr>
        <w:ilvl w:val="3"/>
      </w:numPr>
      <w:outlineLvl w:val="3"/>
    </w:pPr>
    <w:rPr>
      <w:b w:val="0"/>
      <w:i/>
    </w:rPr>
  </w:style>
  <w:style w:type="paragraph" w:styleId="Heading5">
    <w:name w:val="heading 5"/>
    <w:basedOn w:val="Normal"/>
    <w:next w:val="Normal"/>
    <w:link w:val="Heading5Char"/>
    <w:qFormat/>
    <w:rsid w:val="002B2798"/>
    <w:pPr>
      <w:numPr>
        <w:ilvl w:val="4"/>
        <w:numId w:val="2"/>
      </w:numPr>
      <w:spacing w:before="240" w:after="60"/>
      <w:outlineLvl w:val="4"/>
    </w:pPr>
  </w:style>
  <w:style w:type="paragraph" w:styleId="Heading6">
    <w:name w:val="heading 6"/>
    <w:basedOn w:val="Normal"/>
    <w:next w:val="Normal"/>
    <w:link w:val="Heading6Char"/>
    <w:qFormat/>
    <w:rsid w:val="002B2798"/>
    <w:pPr>
      <w:numPr>
        <w:ilvl w:val="5"/>
        <w:numId w:val="2"/>
      </w:numPr>
      <w:spacing w:before="240" w:after="60"/>
      <w:outlineLvl w:val="5"/>
    </w:pPr>
    <w:rPr>
      <w:i/>
    </w:rPr>
  </w:style>
  <w:style w:type="paragraph" w:styleId="Heading7">
    <w:name w:val="heading 7"/>
    <w:basedOn w:val="Normal"/>
    <w:next w:val="Normal"/>
    <w:link w:val="Heading7Char"/>
    <w:qFormat/>
    <w:rsid w:val="002B2798"/>
    <w:pPr>
      <w:numPr>
        <w:ilvl w:val="6"/>
        <w:numId w:val="2"/>
      </w:numPr>
      <w:spacing w:before="240" w:after="60"/>
      <w:outlineLvl w:val="6"/>
    </w:pPr>
  </w:style>
  <w:style w:type="paragraph" w:styleId="Heading8">
    <w:name w:val="heading 8"/>
    <w:basedOn w:val="Normal"/>
    <w:next w:val="Normal"/>
    <w:link w:val="Heading8Char"/>
    <w:qFormat/>
    <w:rsid w:val="002B2798"/>
    <w:pPr>
      <w:numPr>
        <w:ilvl w:val="7"/>
        <w:numId w:val="2"/>
      </w:numPr>
      <w:spacing w:before="240" w:after="60"/>
      <w:outlineLvl w:val="7"/>
    </w:pPr>
    <w:rPr>
      <w:i/>
    </w:rPr>
  </w:style>
  <w:style w:type="paragraph" w:styleId="Heading9">
    <w:name w:val="heading 9"/>
    <w:basedOn w:val="Heading1"/>
    <w:next w:val="Text"/>
    <w:link w:val="Heading9Char"/>
    <w:qFormat/>
    <w:rsid w:val="002B279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8">
    <w:name w:val="A8"/>
    <w:rsid w:val="002B2798"/>
    <w:rPr>
      <w:rFonts w:cs="Arial"/>
      <w:color w:val="000000"/>
      <w:sz w:val="16"/>
      <w:szCs w:val="16"/>
    </w:rPr>
  </w:style>
  <w:style w:type="paragraph" w:customStyle="1" w:styleId="AppendixTitle">
    <w:name w:val="AppendixTitle"/>
    <w:basedOn w:val="Normal"/>
    <w:next w:val="Normal"/>
    <w:rsid w:val="002B2798"/>
    <w:pPr>
      <w:jc w:val="center"/>
    </w:pPr>
    <w:rPr>
      <w:b/>
      <w:smallCaps/>
      <w:sz w:val="40"/>
    </w:rPr>
  </w:style>
  <w:style w:type="paragraph" w:styleId="BalloonText">
    <w:name w:val="Balloon Text"/>
    <w:basedOn w:val="Normal"/>
    <w:link w:val="BalloonTextChar"/>
    <w:semiHidden/>
    <w:rsid w:val="002B2798"/>
    <w:rPr>
      <w:rFonts w:ascii="Tahoma" w:hAnsi="Tahoma" w:cs="Tahoma"/>
      <w:sz w:val="16"/>
      <w:szCs w:val="16"/>
    </w:rPr>
  </w:style>
  <w:style w:type="character" w:customStyle="1" w:styleId="BalloonTextChar">
    <w:name w:val="Balloon Text Char"/>
    <w:basedOn w:val="DefaultParagraphFont"/>
    <w:link w:val="BalloonText"/>
    <w:semiHidden/>
    <w:rsid w:val="002B2798"/>
    <w:rPr>
      <w:rFonts w:ascii="Tahoma" w:eastAsia="Times New Roman" w:hAnsi="Tahoma" w:cs="Tahoma"/>
      <w:spacing w:val="-2"/>
      <w:sz w:val="16"/>
      <w:szCs w:val="16"/>
      <w:lang w:eastAsia="en-US"/>
    </w:rPr>
  </w:style>
  <w:style w:type="paragraph" w:customStyle="1" w:styleId="BMTDivisionalEndorsement">
    <w:name w:val="BMT Divisional Endorsement"/>
    <w:rsid w:val="002B2798"/>
    <w:pPr>
      <w:jc w:val="right"/>
    </w:pPr>
    <w:rPr>
      <w:rFonts w:eastAsia="Times New Roman" w:cs="Arial"/>
      <w:b/>
      <w:color w:val="005581"/>
      <w:lang w:val="en-GB" w:eastAsia="en-GB"/>
    </w:rPr>
  </w:style>
  <w:style w:type="paragraph" w:customStyle="1" w:styleId="BMTReportProperties">
    <w:name w:val="BMT Report Properties"/>
    <w:rsid w:val="002B2798"/>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2B2798"/>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2B2798"/>
    <w:pPr>
      <w:tabs>
        <w:tab w:val="left" w:pos="-720"/>
      </w:tabs>
      <w:suppressAutoHyphens/>
      <w:jc w:val="left"/>
    </w:pPr>
  </w:style>
  <w:style w:type="character" w:customStyle="1" w:styleId="BodyTextChar">
    <w:name w:val="Body Text Char"/>
    <w:basedOn w:val="DefaultParagraphFont"/>
    <w:link w:val="BodyText"/>
    <w:rsid w:val="002B2798"/>
    <w:rPr>
      <w:rFonts w:eastAsia="Times New Roman"/>
      <w:spacing w:val="-2"/>
      <w:lang w:eastAsia="en-US"/>
    </w:rPr>
  </w:style>
  <w:style w:type="paragraph" w:styleId="BodyText2">
    <w:name w:val="Body Text 2"/>
    <w:aliases w:val="pr Side Comment Text"/>
    <w:basedOn w:val="Normal"/>
    <w:link w:val="BodyText2Char"/>
    <w:rsid w:val="002B2798"/>
    <w:pPr>
      <w:spacing w:line="312" w:lineRule="auto"/>
      <w:jc w:val="right"/>
    </w:pPr>
    <w:rPr>
      <w:rFonts w:ascii="Tahoma" w:hAnsi="Tahoma" w:cs="Tahoma"/>
      <w:b/>
      <w:bCs/>
      <w:iCs/>
      <w:lang w:val="en-US"/>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character" w:customStyle="1" w:styleId="BodyText2Char">
    <w:name w:val="Body Text 2 Char"/>
    <w:aliases w:val="pr Side Comment Text Char"/>
    <w:basedOn w:val="DefaultParagraphFont"/>
    <w:link w:val="BodyText2"/>
    <w:rsid w:val="002B2798"/>
    <w:rPr>
      <w:rFonts w:ascii="Tahoma" w:eastAsia="Times New Roman" w:hAnsi="Tahoma" w:cs="Tahoma"/>
      <w:b/>
      <w:bCs/>
      <w:iCs/>
      <w:spacing w:val="-2"/>
      <w:lang w:val="en-US" w:eastAsia="en-US"/>
    </w:rPr>
  </w:style>
  <w:style w:type="paragraph" w:styleId="BodyText3">
    <w:name w:val="Body Text 3"/>
    <w:basedOn w:val="Normal"/>
    <w:link w:val="BodyText3Char"/>
    <w:rsid w:val="002B2798"/>
    <w:rPr>
      <w:b/>
      <w:bCs/>
      <w:sz w:val="36"/>
    </w:rPr>
  </w:style>
  <w:style w:type="character" w:customStyle="1" w:styleId="BodyText3Char">
    <w:name w:val="Body Text 3 Char"/>
    <w:basedOn w:val="DefaultParagraphFont"/>
    <w:link w:val="BodyText3"/>
    <w:rsid w:val="002B2798"/>
    <w:rPr>
      <w:rFonts w:eastAsia="Times New Roman"/>
      <w:b/>
      <w:bCs/>
      <w:spacing w:val="-2"/>
      <w:sz w:val="36"/>
      <w:lang w:eastAsia="en-US"/>
    </w:rPr>
  </w:style>
  <w:style w:type="paragraph" w:styleId="BodyTextIndent">
    <w:name w:val="Body Text Indent"/>
    <w:basedOn w:val="Normal"/>
    <w:link w:val="BodyTextIndentChar"/>
    <w:rsid w:val="002B2798"/>
    <w:pPr>
      <w:spacing w:after="120"/>
      <w:ind w:left="283"/>
    </w:pPr>
  </w:style>
  <w:style w:type="character" w:customStyle="1" w:styleId="BodyTextIndentChar">
    <w:name w:val="Body Text Indent Char"/>
    <w:basedOn w:val="DefaultParagraphFont"/>
    <w:link w:val="BodyTextIndent"/>
    <w:rsid w:val="002B2798"/>
    <w:rPr>
      <w:rFonts w:eastAsia="Times New Roman"/>
      <w:spacing w:val="-2"/>
      <w:lang w:eastAsia="en-US"/>
    </w:rPr>
  </w:style>
  <w:style w:type="paragraph" w:styleId="BodyTextIndent2">
    <w:name w:val="Body Text Indent 2"/>
    <w:basedOn w:val="Normal"/>
    <w:link w:val="BodyTextIndent2Char"/>
    <w:rsid w:val="002B2798"/>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2B2798"/>
    <w:rPr>
      <w:rFonts w:eastAsia="Times New Roman"/>
      <w:spacing w:val="-2"/>
      <w:shd w:val="pct10" w:color="auto" w:fill="auto"/>
      <w:lang w:eastAsia="en-US"/>
    </w:rPr>
  </w:style>
  <w:style w:type="paragraph" w:customStyle="1" w:styleId="Text">
    <w:name w:val="Text"/>
    <w:basedOn w:val="Normal"/>
    <w:link w:val="TextChar"/>
    <w:rsid w:val="002B2798"/>
    <w:pPr>
      <w:spacing w:before="220" w:line="300" w:lineRule="atLeast"/>
      <w:ind w:left="851"/>
    </w:pPr>
  </w:style>
  <w:style w:type="paragraph" w:customStyle="1" w:styleId="Bulets">
    <w:name w:val="Bulets"/>
    <w:basedOn w:val="Text"/>
    <w:rsid w:val="002B2798"/>
  </w:style>
  <w:style w:type="paragraph" w:customStyle="1" w:styleId="Bulledts">
    <w:name w:val="Bulledts"/>
    <w:basedOn w:val="Text"/>
    <w:rsid w:val="002B2798"/>
  </w:style>
  <w:style w:type="paragraph" w:customStyle="1" w:styleId="Bullets">
    <w:name w:val="Bullets"/>
    <w:basedOn w:val="Text"/>
    <w:link w:val="BulletsChar"/>
    <w:rsid w:val="002B2798"/>
    <w:pPr>
      <w:numPr>
        <w:numId w:val="1"/>
      </w:numPr>
      <w:spacing w:before="120"/>
    </w:pPr>
  </w:style>
  <w:style w:type="paragraph" w:customStyle="1" w:styleId="Bullets2">
    <w:name w:val="Bullets2"/>
    <w:basedOn w:val="Bullets"/>
    <w:rsid w:val="002B2798"/>
    <w:pPr>
      <w:numPr>
        <w:numId w:val="0"/>
      </w:numPr>
      <w:tabs>
        <w:tab w:val="num" w:pos="1644"/>
      </w:tabs>
      <w:ind w:left="1644" w:hanging="397"/>
    </w:pPr>
  </w:style>
  <w:style w:type="paragraph" w:styleId="Caption">
    <w:name w:val="caption"/>
    <w:aliases w:val="TABLE"/>
    <w:basedOn w:val="Text"/>
    <w:next w:val="Text"/>
    <w:link w:val="CaptionChar"/>
    <w:qFormat/>
    <w:rsid w:val="002B2798"/>
    <w:pPr>
      <w:spacing w:before="120" w:after="120"/>
      <w:jc w:val="center"/>
    </w:pPr>
    <w:rPr>
      <w:b/>
    </w:rPr>
  </w:style>
  <w:style w:type="character" w:styleId="CommentReference">
    <w:name w:val="annotation reference"/>
    <w:semiHidden/>
    <w:rsid w:val="002B2798"/>
    <w:rPr>
      <w:sz w:val="16"/>
      <w:szCs w:val="16"/>
    </w:rPr>
  </w:style>
  <w:style w:type="paragraph" w:styleId="CommentText">
    <w:name w:val="annotation text"/>
    <w:basedOn w:val="Normal"/>
    <w:link w:val="CommentTextChar"/>
    <w:semiHidden/>
    <w:rsid w:val="002B2798"/>
    <w:pPr>
      <w:overflowPunct/>
      <w:autoSpaceDE/>
      <w:autoSpaceDN/>
      <w:adjustRightInd/>
      <w:jc w:val="left"/>
      <w:textAlignment w:val="auto"/>
    </w:pPr>
    <w:rPr>
      <w:rFonts w:ascii="Times New Roman" w:hAnsi="Times New Roman"/>
      <w:spacing w:val="0"/>
    </w:rPr>
  </w:style>
  <w:style w:type="character" w:customStyle="1" w:styleId="CommentTextChar">
    <w:name w:val="Comment Text Char"/>
    <w:basedOn w:val="DefaultParagraphFont"/>
    <w:link w:val="CommentText"/>
    <w:semiHidden/>
    <w:rsid w:val="002B2798"/>
    <w:rPr>
      <w:rFonts w:ascii="Times New Roman" w:eastAsia="Times New Roman" w:hAnsi="Times New Roman"/>
      <w:lang w:eastAsia="en-US"/>
    </w:rPr>
  </w:style>
  <w:style w:type="paragraph" w:styleId="CommentSubject">
    <w:name w:val="annotation subject"/>
    <w:basedOn w:val="CommentText"/>
    <w:next w:val="CommentText"/>
    <w:link w:val="CommentSubjectChar"/>
    <w:semiHidden/>
    <w:rsid w:val="002B2798"/>
    <w:pPr>
      <w:overflowPunct w:val="0"/>
      <w:autoSpaceDE w:val="0"/>
      <w:autoSpaceDN w:val="0"/>
      <w:adjustRightInd w:val="0"/>
      <w:jc w:val="both"/>
      <w:textAlignment w:val="baseline"/>
    </w:pPr>
    <w:rPr>
      <w:rFonts w:ascii="Arial" w:hAnsi="Arial"/>
      <w:b/>
      <w:bCs/>
      <w:spacing w:val="-2"/>
    </w:rPr>
  </w:style>
  <w:style w:type="character" w:customStyle="1" w:styleId="CommentSubjectChar">
    <w:name w:val="Comment Subject Char"/>
    <w:basedOn w:val="CommentTextChar"/>
    <w:link w:val="CommentSubject"/>
    <w:semiHidden/>
    <w:rsid w:val="002B2798"/>
    <w:rPr>
      <w:b/>
      <w:bCs/>
      <w:spacing w:val="-2"/>
    </w:rPr>
  </w:style>
  <w:style w:type="paragraph" w:customStyle="1" w:styleId="CVText">
    <w:name w:val="CVText"/>
    <w:rsid w:val="002B2798"/>
    <w:pPr>
      <w:tabs>
        <w:tab w:val="left" w:pos="2268"/>
      </w:tabs>
      <w:ind w:left="2268" w:hanging="2268"/>
    </w:pPr>
    <w:rPr>
      <w:rFonts w:eastAsia="Times New Roman"/>
      <w:lang w:eastAsia="en-US"/>
    </w:rPr>
  </w:style>
  <w:style w:type="paragraph" w:customStyle="1" w:styleId="CVBullets">
    <w:name w:val="CVBullets"/>
    <w:basedOn w:val="CVText"/>
    <w:rsid w:val="002B2798"/>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2B2798"/>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2B2798"/>
    <w:pPr>
      <w:shd w:val="solid" w:color="auto" w:fill="auto"/>
      <w:spacing w:before="120" w:after="120"/>
      <w:jc w:val="right"/>
    </w:pPr>
    <w:rPr>
      <w:b/>
      <w:smallCaps/>
      <w:sz w:val="36"/>
    </w:rPr>
  </w:style>
  <w:style w:type="paragraph" w:customStyle="1" w:styleId="CVProjtext">
    <w:name w:val="CVProjtext"/>
    <w:basedOn w:val="CVText"/>
    <w:link w:val="CVProjtextChar"/>
    <w:rsid w:val="002B2798"/>
    <w:pPr>
      <w:tabs>
        <w:tab w:val="clear" w:pos="2268"/>
      </w:tabs>
      <w:suppressAutoHyphens/>
      <w:ind w:left="567" w:firstLine="0"/>
      <w:jc w:val="both"/>
    </w:pPr>
    <w:rPr>
      <w:sz w:val="18"/>
    </w:rPr>
  </w:style>
  <w:style w:type="paragraph" w:styleId="DocumentMap">
    <w:name w:val="Document Map"/>
    <w:basedOn w:val="Normal"/>
    <w:link w:val="DocumentMapChar"/>
    <w:semiHidden/>
    <w:rsid w:val="002B2798"/>
    <w:pPr>
      <w:shd w:val="clear" w:color="auto" w:fill="000080"/>
    </w:pPr>
    <w:rPr>
      <w:rFonts w:ascii="Tahoma" w:hAnsi="Tahoma" w:cs="Tahoma"/>
    </w:rPr>
  </w:style>
  <w:style w:type="character" w:customStyle="1" w:styleId="DocumentMapChar">
    <w:name w:val="Document Map Char"/>
    <w:basedOn w:val="DefaultParagraphFont"/>
    <w:link w:val="DocumentMap"/>
    <w:semiHidden/>
    <w:rsid w:val="002B2798"/>
    <w:rPr>
      <w:rFonts w:ascii="Tahoma" w:eastAsia="Times New Roman" w:hAnsi="Tahoma" w:cs="Tahoma"/>
      <w:spacing w:val="-2"/>
      <w:shd w:val="clear" w:color="auto" w:fill="000080"/>
      <w:lang w:eastAsia="en-US"/>
    </w:rPr>
  </w:style>
  <w:style w:type="character" w:styleId="Emphasis">
    <w:name w:val="Emphasis"/>
    <w:qFormat/>
    <w:rsid w:val="002B2798"/>
    <w:rPr>
      <w:i/>
      <w:iCs/>
    </w:rPr>
  </w:style>
  <w:style w:type="character" w:styleId="FollowedHyperlink">
    <w:name w:val="FollowedHyperlink"/>
    <w:rsid w:val="002B2798"/>
    <w:rPr>
      <w:color w:val="800080"/>
      <w:u w:val="single"/>
    </w:rPr>
  </w:style>
  <w:style w:type="paragraph" w:styleId="Footer">
    <w:name w:val="footer"/>
    <w:basedOn w:val="Text"/>
    <w:link w:val="FooterChar"/>
    <w:rsid w:val="002B2798"/>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2B2798"/>
    <w:rPr>
      <w:rFonts w:ascii="Univers (W1)" w:eastAsia="Times New Roman" w:hAnsi="Univers (W1)"/>
      <w:i/>
      <w:caps/>
      <w:spacing w:val="-2"/>
      <w:sz w:val="12"/>
      <w:lang w:eastAsia="en-US"/>
    </w:rPr>
  </w:style>
  <w:style w:type="character" w:styleId="FootnoteReference">
    <w:name w:val="footnote reference"/>
    <w:semiHidden/>
    <w:rsid w:val="002B2798"/>
    <w:rPr>
      <w:vertAlign w:val="superscript"/>
    </w:rPr>
  </w:style>
  <w:style w:type="paragraph" w:styleId="FootnoteText">
    <w:name w:val="footnote text"/>
    <w:basedOn w:val="Normal"/>
    <w:link w:val="FootnoteTextChar"/>
    <w:semiHidden/>
    <w:rsid w:val="002B2798"/>
    <w:pPr>
      <w:overflowPunct/>
      <w:autoSpaceDE/>
      <w:autoSpaceDN/>
      <w:adjustRightInd/>
      <w:jc w:val="left"/>
      <w:textAlignment w:val="auto"/>
    </w:pPr>
    <w:rPr>
      <w:rFonts w:ascii="Times New Roman" w:hAnsi="Times New Roman"/>
      <w:spacing w:val="0"/>
    </w:rPr>
  </w:style>
  <w:style w:type="character" w:customStyle="1" w:styleId="FootnoteTextChar">
    <w:name w:val="Footnote Text Char"/>
    <w:basedOn w:val="DefaultParagraphFont"/>
    <w:link w:val="FootnoteText"/>
    <w:semiHidden/>
    <w:rsid w:val="002B2798"/>
    <w:rPr>
      <w:rFonts w:ascii="Times New Roman" w:eastAsia="Times New Roman" w:hAnsi="Times New Roman"/>
      <w:lang w:eastAsia="en-US"/>
    </w:rPr>
  </w:style>
  <w:style w:type="paragraph" w:styleId="Header">
    <w:name w:val="header"/>
    <w:basedOn w:val="Normal"/>
    <w:link w:val="HeaderChar"/>
    <w:rsid w:val="002B2798"/>
    <w:pPr>
      <w:pBdr>
        <w:bottom w:val="single" w:sz="6" w:space="1" w:color="auto"/>
      </w:pBdr>
      <w:tabs>
        <w:tab w:val="right" w:pos="9072"/>
      </w:tabs>
    </w:pPr>
    <w:rPr>
      <w:smallCaps/>
    </w:rPr>
  </w:style>
  <w:style w:type="character" w:customStyle="1" w:styleId="HeaderChar">
    <w:name w:val="Header Char"/>
    <w:basedOn w:val="DefaultParagraphFont"/>
    <w:link w:val="Header"/>
    <w:rsid w:val="002B2798"/>
    <w:rPr>
      <w:rFonts w:eastAsia="Times New Roman"/>
      <w:smallCaps/>
      <w:spacing w:val="-2"/>
      <w:lang w:eastAsia="en-US"/>
    </w:rPr>
  </w:style>
  <w:style w:type="paragraph" w:customStyle="1" w:styleId="Heading0">
    <w:name w:val="Heading 0"/>
    <w:basedOn w:val="Normal"/>
    <w:rsid w:val="002B2798"/>
    <w:pPr>
      <w:keepNext/>
      <w:spacing w:before="240" w:after="60"/>
    </w:pPr>
    <w:rPr>
      <w:b/>
      <w:smallCaps/>
      <w:kern w:val="28"/>
      <w:sz w:val="32"/>
    </w:rPr>
  </w:style>
  <w:style w:type="paragraph" w:customStyle="1" w:styleId="Headings">
    <w:name w:val="Headings"/>
    <w:basedOn w:val="Normal"/>
    <w:rsid w:val="002B2798"/>
    <w:pPr>
      <w:spacing w:before="240" w:after="240"/>
      <w:ind w:left="851" w:hanging="851"/>
    </w:pPr>
  </w:style>
  <w:style w:type="character" w:customStyle="1" w:styleId="Heading5Char">
    <w:name w:val="Heading 5 Char"/>
    <w:basedOn w:val="DefaultParagraphFont"/>
    <w:link w:val="Heading5"/>
    <w:rsid w:val="002B2798"/>
    <w:rPr>
      <w:rFonts w:eastAsia="Times New Roman"/>
      <w:spacing w:val="-2"/>
      <w:lang w:eastAsia="en-US"/>
    </w:rPr>
  </w:style>
  <w:style w:type="character" w:customStyle="1" w:styleId="Heading6Char">
    <w:name w:val="Heading 6 Char"/>
    <w:basedOn w:val="DefaultParagraphFont"/>
    <w:link w:val="Heading6"/>
    <w:rsid w:val="002B2798"/>
    <w:rPr>
      <w:rFonts w:eastAsia="Times New Roman"/>
      <w:i/>
      <w:spacing w:val="-2"/>
      <w:lang w:eastAsia="en-US"/>
    </w:rPr>
  </w:style>
  <w:style w:type="character" w:customStyle="1" w:styleId="Heading7Char">
    <w:name w:val="Heading 7 Char"/>
    <w:basedOn w:val="DefaultParagraphFont"/>
    <w:link w:val="Heading7"/>
    <w:rsid w:val="002B2798"/>
    <w:rPr>
      <w:rFonts w:eastAsia="Times New Roman"/>
      <w:spacing w:val="-2"/>
      <w:lang w:eastAsia="en-US"/>
    </w:rPr>
  </w:style>
  <w:style w:type="character" w:customStyle="1" w:styleId="Heading8Char">
    <w:name w:val="Heading 8 Char"/>
    <w:basedOn w:val="DefaultParagraphFont"/>
    <w:link w:val="Heading8"/>
    <w:rsid w:val="002B2798"/>
    <w:rPr>
      <w:rFonts w:eastAsia="Times New Roman"/>
      <w:i/>
      <w:spacing w:val="-2"/>
      <w:lang w:eastAsia="en-US"/>
    </w:rPr>
  </w:style>
  <w:style w:type="character" w:customStyle="1" w:styleId="Heading9Char">
    <w:name w:val="Heading 9 Char"/>
    <w:basedOn w:val="DefaultParagraphFont"/>
    <w:link w:val="Heading9"/>
    <w:rsid w:val="002B2798"/>
    <w:rPr>
      <w:rFonts w:ascii="Tahoma" w:eastAsia="Times New Roman" w:hAnsi="Tahoma"/>
      <w:b/>
      <w:smallCaps/>
      <w:spacing w:val="-2"/>
      <w:kern w:val="28"/>
      <w:sz w:val="32"/>
      <w:lang w:eastAsia="en-US"/>
    </w:rPr>
  </w:style>
  <w:style w:type="character" w:styleId="Hyperlink">
    <w:name w:val="Hyperlink"/>
    <w:rsid w:val="002B2798"/>
    <w:rPr>
      <w:color w:val="0000FF"/>
      <w:u w:val="single"/>
    </w:rPr>
  </w:style>
  <w:style w:type="paragraph" w:styleId="List2">
    <w:name w:val="List 2"/>
    <w:basedOn w:val="Normal"/>
    <w:rsid w:val="002B2798"/>
    <w:pPr>
      <w:ind w:left="566" w:hanging="283"/>
    </w:pPr>
  </w:style>
  <w:style w:type="paragraph" w:styleId="ListBullet2">
    <w:name w:val="List Bullet 2"/>
    <w:basedOn w:val="Normal"/>
    <w:rsid w:val="002B2798"/>
    <w:pPr>
      <w:tabs>
        <w:tab w:val="left" w:pos="-576"/>
        <w:tab w:val="left" w:pos="0"/>
        <w:tab w:val="left" w:pos="576"/>
        <w:tab w:val="left" w:pos="1008"/>
        <w:tab w:val="left" w:pos="1440"/>
      </w:tabs>
      <w:suppressAutoHyphens/>
    </w:pPr>
  </w:style>
  <w:style w:type="paragraph" w:styleId="ListContinue2">
    <w:name w:val="List Continue 2"/>
    <w:basedOn w:val="Normal"/>
    <w:rsid w:val="002B2798"/>
    <w:pPr>
      <w:tabs>
        <w:tab w:val="left" w:pos="-720"/>
      </w:tabs>
      <w:suppressAutoHyphens/>
      <w:jc w:val="left"/>
    </w:pPr>
  </w:style>
  <w:style w:type="paragraph" w:styleId="ListParagraph">
    <w:name w:val="List Paragraph"/>
    <w:basedOn w:val="Normal"/>
    <w:uiPriority w:val="34"/>
    <w:qFormat/>
    <w:rsid w:val="002B2798"/>
    <w:pPr>
      <w:overflowPunct/>
      <w:autoSpaceDE/>
      <w:autoSpaceDN/>
      <w:adjustRightInd/>
      <w:spacing w:after="200" w:line="276" w:lineRule="auto"/>
      <w:ind w:left="720"/>
      <w:contextualSpacing/>
      <w:jc w:val="left"/>
      <w:textAlignment w:val="auto"/>
    </w:pPr>
    <w:rPr>
      <w:rFonts w:ascii="Calibri" w:eastAsia="Calibri" w:hAnsi="Calibri"/>
      <w:spacing w:val="0"/>
      <w:sz w:val="22"/>
      <w:szCs w:val="22"/>
      <w:lang w:val="en-US"/>
    </w:rPr>
  </w:style>
  <w:style w:type="paragraph" w:customStyle="1" w:styleId="Numbers">
    <w:name w:val="Numbers"/>
    <w:basedOn w:val="Bullets"/>
    <w:rsid w:val="002B2798"/>
    <w:pPr>
      <w:numPr>
        <w:numId w:val="3"/>
      </w:numPr>
      <w:tabs>
        <w:tab w:val="left" w:pos="1644"/>
        <w:tab w:val="left" w:pos="2041"/>
      </w:tabs>
    </w:pPr>
  </w:style>
  <w:style w:type="character" w:styleId="PageNumber">
    <w:name w:val="page number"/>
    <w:rsid w:val="00622B59"/>
    <w:rPr>
      <w:rFonts w:ascii="Arial" w:hAnsi="Arial"/>
      <w:b/>
      <w:sz w:val="28"/>
    </w:rPr>
  </w:style>
  <w:style w:type="paragraph" w:customStyle="1" w:styleId="PenPortrait">
    <w:name w:val="PenPortrait"/>
    <w:basedOn w:val="Text"/>
    <w:rsid w:val="002B2798"/>
    <w:pPr>
      <w:shd w:val="solid" w:color="auto" w:fill="auto"/>
      <w:jc w:val="left"/>
    </w:pPr>
    <w:rPr>
      <w:b/>
      <w:sz w:val="24"/>
    </w:rPr>
  </w:style>
  <w:style w:type="paragraph" w:customStyle="1" w:styleId="prsidecomment">
    <w:name w:val="pr side comment"/>
    <w:rsid w:val="002B2798"/>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2B2798"/>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2B2798"/>
  </w:style>
  <w:style w:type="character" w:customStyle="1" w:styleId="sjp">
    <w:name w:val="sjp"/>
    <w:semiHidden/>
    <w:rsid w:val="002B2798"/>
    <w:rPr>
      <w:rFonts w:ascii="Arial" w:hAnsi="Arial" w:cs="Arial"/>
      <w:color w:val="auto"/>
      <w:sz w:val="20"/>
      <w:szCs w:val="20"/>
    </w:rPr>
  </w:style>
  <w:style w:type="character" w:styleId="Strong">
    <w:name w:val="Strong"/>
    <w:qFormat/>
    <w:rsid w:val="002B2798"/>
    <w:rPr>
      <w:b/>
      <w:bCs/>
    </w:rPr>
  </w:style>
  <w:style w:type="paragraph" w:customStyle="1" w:styleId="subhead">
    <w:name w:val="subhead"/>
    <w:basedOn w:val="Text"/>
    <w:rsid w:val="002B2798"/>
    <w:rPr>
      <w:b/>
      <w:sz w:val="24"/>
    </w:rPr>
  </w:style>
  <w:style w:type="paragraph" w:customStyle="1" w:styleId="Table">
    <w:name w:val="Table"/>
    <w:basedOn w:val="Normal"/>
    <w:rsid w:val="002B2798"/>
    <w:pPr>
      <w:overflowPunct/>
      <w:autoSpaceDE/>
      <w:autoSpaceDN/>
      <w:adjustRightInd/>
      <w:textAlignment w:val="auto"/>
    </w:pPr>
    <w:rPr>
      <w:rFonts w:ascii="Arial Narrow" w:hAnsi="Arial Narrow"/>
      <w:snapToGrid w:val="0"/>
      <w:spacing w:val="0"/>
      <w:sz w:val="18"/>
    </w:rPr>
  </w:style>
  <w:style w:type="character" w:customStyle="1" w:styleId="TABLECharChar">
    <w:name w:val="TABLE Char Char"/>
    <w:rsid w:val="002B2798"/>
    <w:rPr>
      <w:rFonts w:ascii="Arial" w:hAnsi="Arial"/>
      <w:b/>
      <w:spacing w:val="-2"/>
      <w:lang w:val="en-AU" w:eastAsia="en-US" w:bidi="ar-SA"/>
    </w:rPr>
  </w:style>
  <w:style w:type="table" w:styleId="TableGrid">
    <w:name w:val="Table Grid"/>
    <w:basedOn w:val="TableNormal"/>
    <w:rsid w:val="002B2798"/>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2B2798"/>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2B2798"/>
    <w:rPr>
      <w:b w:val="0"/>
      <w:szCs w:val="16"/>
    </w:rPr>
  </w:style>
  <w:style w:type="paragraph" w:styleId="TableofFigures">
    <w:name w:val="table of figures"/>
    <w:basedOn w:val="Normal"/>
    <w:next w:val="Normal"/>
    <w:uiPriority w:val="99"/>
    <w:rsid w:val="002B2798"/>
    <w:pPr>
      <w:tabs>
        <w:tab w:val="right" w:pos="9071"/>
      </w:tabs>
      <w:spacing w:before="120"/>
      <w:ind w:left="2269" w:hanging="1418"/>
      <w:jc w:val="left"/>
    </w:pPr>
    <w:rPr>
      <w:b/>
    </w:rPr>
  </w:style>
  <w:style w:type="paragraph" w:styleId="TOC1">
    <w:name w:val="toc 1"/>
    <w:basedOn w:val="Headings"/>
    <w:next w:val="Normal"/>
    <w:uiPriority w:val="39"/>
    <w:rsid w:val="002B2798"/>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2B2798"/>
    <w:pPr>
      <w:spacing w:before="120" w:after="0"/>
      <w:ind w:left="1304"/>
    </w:pPr>
    <w:rPr>
      <w:smallCaps w:val="0"/>
      <w:sz w:val="22"/>
    </w:rPr>
  </w:style>
  <w:style w:type="paragraph" w:styleId="TOC3">
    <w:name w:val="toc 3"/>
    <w:basedOn w:val="TOC2"/>
    <w:next w:val="Normal"/>
    <w:uiPriority w:val="39"/>
    <w:rsid w:val="002B2798"/>
    <w:pPr>
      <w:ind w:left="1701"/>
    </w:pPr>
    <w:rPr>
      <w:b w:val="0"/>
    </w:rPr>
  </w:style>
  <w:style w:type="paragraph" w:styleId="TOC4">
    <w:name w:val="toc 4"/>
    <w:basedOn w:val="TOC3"/>
    <w:next w:val="Normal"/>
    <w:uiPriority w:val="39"/>
    <w:rsid w:val="002B2798"/>
    <w:pPr>
      <w:ind w:left="2098"/>
    </w:pPr>
    <w:rPr>
      <w:i/>
      <w:sz w:val="20"/>
    </w:rPr>
  </w:style>
  <w:style w:type="paragraph" w:styleId="TOC5">
    <w:name w:val="toc 5"/>
    <w:basedOn w:val="Normal"/>
    <w:next w:val="Normal"/>
    <w:semiHidden/>
    <w:rsid w:val="002B2798"/>
    <w:pPr>
      <w:tabs>
        <w:tab w:val="right" w:pos="9071"/>
      </w:tabs>
      <w:ind w:left="660"/>
      <w:jc w:val="left"/>
    </w:pPr>
    <w:rPr>
      <w:sz w:val="18"/>
    </w:rPr>
  </w:style>
  <w:style w:type="paragraph" w:styleId="TOC6">
    <w:name w:val="toc 6"/>
    <w:basedOn w:val="Normal"/>
    <w:next w:val="Normal"/>
    <w:semiHidden/>
    <w:rsid w:val="002B2798"/>
    <w:pPr>
      <w:tabs>
        <w:tab w:val="right" w:pos="9071"/>
      </w:tabs>
      <w:ind w:left="880"/>
      <w:jc w:val="left"/>
    </w:pPr>
    <w:rPr>
      <w:sz w:val="18"/>
    </w:rPr>
  </w:style>
  <w:style w:type="paragraph" w:styleId="TOC7">
    <w:name w:val="toc 7"/>
    <w:basedOn w:val="Normal"/>
    <w:next w:val="Normal"/>
    <w:semiHidden/>
    <w:rsid w:val="002B2798"/>
    <w:pPr>
      <w:tabs>
        <w:tab w:val="right" w:pos="9071"/>
      </w:tabs>
      <w:ind w:left="1100"/>
      <w:jc w:val="left"/>
    </w:pPr>
    <w:rPr>
      <w:sz w:val="18"/>
    </w:rPr>
  </w:style>
  <w:style w:type="paragraph" w:styleId="TOC8">
    <w:name w:val="toc 8"/>
    <w:basedOn w:val="Normal"/>
    <w:next w:val="Normal"/>
    <w:semiHidden/>
    <w:rsid w:val="002B2798"/>
    <w:pPr>
      <w:shd w:val="pct10" w:color="auto" w:fill="auto"/>
      <w:tabs>
        <w:tab w:val="right" w:pos="9071"/>
      </w:tabs>
      <w:spacing w:before="60"/>
      <w:ind w:left="851"/>
      <w:jc w:val="left"/>
    </w:pPr>
    <w:rPr>
      <w:b/>
    </w:rPr>
  </w:style>
  <w:style w:type="paragraph" w:styleId="TOC9">
    <w:name w:val="toc 9"/>
    <w:basedOn w:val="Normal"/>
    <w:next w:val="Normal"/>
    <w:semiHidden/>
    <w:rsid w:val="002B2798"/>
    <w:pPr>
      <w:tabs>
        <w:tab w:val="right" w:pos="9071"/>
      </w:tabs>
      <w:ind w:left="1540"/>
      <w:jc w:val="left"/>
    </w:pPr>
    <w:rPr>
      <w:sz w:val="18"/>
    </w:rPr>
  </w:style>
  <w:style w:type="character" w:styleId="BookTitle">
    <w:name w:val="Book Title"/>
    <w:basedOn w:val="DefaultParagraphFont"/>
    <w:uiPriority w:val="33"/>
    <w:rsid w:val="00136DDA"/>
    <w:rPr>
      <w:rFonts w:asciiTheme="minorHAnsi" w:hAnsiTheme="minorHAnsi"/>
      <w:bCs/>
      <w:spacing w:val="5"/>
    </w:rPr>
  </w:style>
  <w:style w:type="paragraph" w:styleId="Title">
    <w:name w:val="Title"/>
    <w:basedOn w:val="Normal"/>
    <w:next w:val="Normal"/>
    <w:link w:val="TitleChar"/>
    <w:uiPriority w:val="10"/>
    <w:unhideWhenUsed/>
    <w:qFormat/>
    <w:rsid w:val="00136DDA"/>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136DDA"/>
    <w:rPr>
      <w:rFonts w:asciiTheme="minorHAnsi" w:eastAsiaTheme="majorEastAsia" w:hAnsiTheme="minorHAnsi" w:cstheme="majorBidi"/>
      <w:b/>
      <w:spacing w:val="5"/>
      <w:kern w:val="28"/>
      <w:sz w:val="52"/>
      <w:szCs w:val="52"/>
      <w:lang w:eastAsia="en-US"/>
    </w:rPr>
  </w:style>
  <w:style w:type="character" w:customStyle="1" w:styleId="TextChar">
    <w:name w:val="Text Char"/>
    <w:link w:val="Text"/>
    <w:rsid w:val="00136DDA"/>
    <w:rPr>
      <w:rFonts w:eastAsia="Times New Roman"/>
      <w:spacing w:val="-2"/>
      <w:lang w:eastAsia="en-US"/>
    </w:rPr>
  </w:style>
  <w:style w:type="character" w:customStyle="1" w:styleId="CaptionChar">
    <w:name w:val="Caption Char"/>
    <w:aliases w:val="TABLE Char"/>
    <w:link w:val="Caption"/>
    <w:rsid w:val="00136DDA"/>
    <w:rPr>
      <w:rFonts w:eastAsia="Times New Roman"/>
      <w:b/>
      <w:spacing w:val="-2"/>
      <w:lang w:eastAsia="en-US"/>
    </w:rPr>
  </w:style>
  <w:style w:type="character" w:customStyle="1" w:styleId="BulletsChar">
    <w:name w:val="Bullets Char"/>
    <w:basedOn w:val="TextChar"/>
    <w:link w:val="Bullets"/>
    <w:rsid w:val="00136DDA"/>
  </w:style>
  <w:style w:type="character" w:customStyle="1" w:styleId="CVProjtextChar">
    <w:name w:val="CVProjtext Char"/>
    <w:link w:val="CVProjtext"/>
    <w:rsid w:val="000E4357"/>
    <w:rPr>
      <w:rFonts w:eastAsia="Times New Roman"/>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environment.gov.au/water/publications/environmental/wetlands/13-ecd.html"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9C27-A961-49E7-ADB9-89D142453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8790</Words>
  <Characters>50106</Characters>
  <Application>Microsoft Office Word</Application>
  <DocSecurity>0</DocSecurity>
  <Lines>417</Lines>
  <Paragraphs>117</Paragraphs>
  <ScaleCrop>false</ScaleCrop>
  <Company/>
  <LinksUpToDate>false</LinksUpToDate>
  <CharactersWithSpaces>58779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Corner Inlet Ramsar site Ecological Character Description - Chapter 5 Changes to ecological character and threats, and Chapter 6 Information gaps, monitoring and education</dc:title>
  <dc:creator/>
  <cp:lastModifiedBy/>
  <cp:revision>1</cp:revision>
  <dcterms:created xsi:type="dcterms:W3CDTF">2012-07-23T01:25:00Z</dcterms:created>
  <dcterms:modified xsi:type="dcterms:W3CDTF">2012-07-23T01:40:00Z</dcterms:modified>
</cp:coreProperties>
</file>